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4F" w:rsidRDefault="009268BF" w:rsidP="009268BF">
      <w:pPr>
        <w:spacing w:after="0" w:line="288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D72AD" wp14:editId="36E51890">
                <wp:simplePos x="0" y="0"/>
                <wp:positionH relativeFrom="column">
                  <wp:posOffset>1618615</wp:posOffset>
                </wp:positionH>
                <wp:positionV relativeFrom="paragraph">
                  <wp:posOffset>-124327</wp:posOffset>
                </wp:positionV>
                <wp:extent cx="4593265" cy="9334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2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4AC" w:rsidRPr="009268BF" w:rsidRDefault="00B504AC" w:rsidP="009268BF">
                            <w:pPr>
                              <w:spacing w:after="0" w:line="240" w:lineRule="atLeast"/>
                              <w:rPr>
                                <w:rFonts w:ascii="Calibri" w:hAnsi="Calibri" w:cs="Calibri"/>
                                <w:color w:val="575756"/>
                                <w:sz w:val="48"/>
                                <w:szCs w:val="48"/>
                              </w:rPr>
                            </w:pPr>
                            <w:r w:rsidRPr="009268BF">
                              <w:rPr>
                                <w:rFonts w:ascii="Calibri" w:hAnsi="Calibri" w:cs="Calibri"/>
                                <w:color w:val="575756"/>
                                <w:sz w:val="48"/>
                                <w:szCs w:val="48"/>
                              </w:rPr>
                              <w:t>Krajská pobočka v Ústí nad Labem</w:t>
                            </w:r>
                          </w:p>
                          <w:p w:rsidR="00B504AC" w:rsidRPr="009268BF" w:rsidRDefault="00B504AC" w:rsidP="009268BF">
                            <w:pPr>
                              <w:spacing w:after="0" w:line="240" w:lineRule="atLeast"/>
                              <w:rPr>
                                <w:color w:val="575756"/>
                                <w:sz w:val="28"/>
                                <w:szCs w:val="28"/>
                              </w:rPr>
                            </w:pPr>
                            <w:r w:rsidRPr="009268BF">
                              <w:rPr>
                                <w:rFonts w:ascii="Calibri" w:hAnsi="Calibri" w:cs="Calibri"/>
                                <w:color w:val="575756"/>
                                <w:sz w:val="28"/>
                                <w:szCs w:val="28"/>
                              </w:rPr>
                              <w:t>Dvořákova 18 | 400 01 Ústí nad Labem | Tel.: 950 171 111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7.45pt;margin-top:-9.8pt;width:361.6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" stroked="f">
                <v:textbox>
                  <w:txbxContent>
                    <w:p w:rsidR="00B504AC" w:rsidRPr="009268BF" w:rsidRDefault="00B504AC" w:rsidP="009268BF">
                      <w:pPr>
                        <w:spacing w:after="0" w:line="240" w:lineRule="atLeast"/>
                        <w:rPr>
                          <w:rFonts w:ascii="Calibri" w:hAnsi="Calibri" w:cs="Calibri"/>
                          <w:color w:val="575756"/>
                          <w:sz w:val="48"/>
                          <w:szCs w:val="48"/>
                        </w:rPr>
                      </w:pPr>
                      <w:r w:rsidRPr="009268BF">
                        <w:rPr>
                          <w:rFonts w:ascii="Calibri" w:hAnsi="Calibri" w:cs="Calibri"/>
                          <w:color w:val="575756"/>
                          <w:sz w:val="48"/>
                          <w:szCs w:val="48"/>
                        </w:rPr>
                        <w:t>Krajská pobočka v Ústí nad Labem</w:t>
                      </w:r>
                    </w:p>
                    <w:p w:rsidR="00B504AC" w:rsidRPr="009268BF" w:rsidRDefault="00B504AC" w:rsidP="009268BF">
                      <w:pPr>
                        <w:spacing w:after="0" w:line="240" w:lineRule="atLeast"/>
                        <w:rPr>
                          <w:color w:val="575756"/>
                          <w:sz w:val="28"/>
                          <w:szCs w:val="28"/>
                        </w:rPr>
                      </w:pPr>
                      <w:r w:rsidRPr="009268BF">
                        <w:rPr>
                          <w:rFonts w:ascii="Calibri" w:hAnsi="Calibri" w:cs="Calibri"/>
                          <w:color w:val="575756"/>
                          <w:sz w:val="28"/>
                          <w:szCs w:val="28"/>
                        </w:rPr>
                        <w:t>Dvořákova 18 | 400 01 Ústí nad Labem | Tel.: 950 171 111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CCE51C4" wp14:editId="32238BF8">
            <wp:simplePos x="0" y="0"/>
            <wp:positionH relativeFrom="page">
              <wp:posOffset>-17721</wp:posOffset>
            </wp:positionH>
            <wp:positionV relativeFrom="page">
              <wp:posOffset>-7088</wp:posOffset>
            </wp:positionV>
            <wp:extent cx="2238375" cy="1590675"/>
            <wp:effectExtent l="0" t="0" r="9525" b="9525"/>
            <wp:wrapNone/>
            <wp:docPr id="2" name="Obrázek 1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68BF" w:rsidRDefault="009268BF" w:rsidP="009268BF">
      <w:pPr>
        <w:spacing w:after="0" w:line="288" w:lineRule="auto"/>
      </w:pPr>
    </w:p>
    <w:p w:rsidR="009268BF" w:rsidRDefault="009268BF" w:rsidP="009268BF">
      <w:pPr>
        <w:spacing w:after="0" w:line="288" w:lineRule="auto"/>
      </w:pPr>
    </w:p>
    <w:p w:rsidR="009268BF" w:rsidRDefault="009268BF" w:rsidP="009268BF">
      <w:pPr>
        <w:spacing w:after="0" w:line="288" w:lineRule="auto"/>
      </w:pPr>
    </w:p>
    <w:p w:rsidR="009268BF" w:rsidRDefault="009268BF" w:rsidP="00436020">
      <w:pPr>
        <w:spacing w:after="0" w:line="240" w:lineRule="auto"/>
      </w:pPr>
    </w:p>
    <w:p w:rsidR="009268BF" w:rsidRPr="004273ED" w:rsidRDefault="009268BF" w:rsidP="00436020">
      <w:pPr>
        <w:spacing w:after="0" w:line="240" w:lineRule="auto"/>
      </w:pPr>
    </w:p>
    <w:p w:rsidR="00436020" w:rsidRPr="004273ED" w:rsidRDefault="00436020" w:rsidP="00436020">
      <w:pPr>
        <w:spacing w:after="0" w:line="240" w:lineRule="auto"/>
      </w:pPr>
    </w:p>
    <w:p w:rsidR="00436020" w:rsidRPr="004273ED" w:rsidRDefault="00436020" w:rsidP="00436020">
      <w:pPr>
        <w:spacing w:after="0" w:line="240" w:lineRule="auto"/>
      </w:pPr>
    </w:p>
    <w:p w:rsidR="009268BF" w:rsidRPr="004273ED" w:rsidRDefault="009268BF" w:rsidP="00436020">
      <w:pPr>
        <w:spacing w:after="0" w:line="240" w:lineRule="auto"/>
      </w:pPr>
    </w:p>
    <w:p w:rsidR="009268BF" w:rsidRPr="004273ED" w:rsidRDefault="009268BF" w:rsidP="00436020">
      <w:pPr>
        <w:spacing w:after="0" w:line="240" w:lineRule="auto"/>
      </w:pPr>
    </w:p>
    <w:p w:rsidR="009268BF" w:rsidRPr="004273ED" w:rsidRDefault="00C44B51" w:rsidP="00436020">
      <w:pPr>
        <w:spacing w:after="0" w:line="240" w:lineRule="auto"/>
        <w:jc w:val="center"/>
        <w:rPr>
          <w:b/>
          <w:sz w:val="72"/>
          <w:szCs w:val="72"/>
        </w:rPr>
      </w:pPr>
      <w:r w:rsidRPr="004273ED">
        <w:rPr>
          <w:b/>
          <w:sz w:val="72"/>
          <w:szCs w:val="72"/>
        </w:rPr>
        <w:t>Měsíční statistická zpráva</w:t>
      </w:r>
    </w:p>
    <w:p w:rsidR="009268BF" w:rsidRPr="004273ED" w:rsidRDefault="000B4116" w:rsidP="00436020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ČERVEN</w:t>
      </w:r>
      <w:r w:rsidR="00E47BCB" w:rsidRPr="004273ED">
        <w:rPr>
          <w:b/>
          <w:sz w:val="48"/>
          <w:szCs w:val="48"/>
        </w:rPr>
        <w:t xml:space="preserve"> 2014</w:t>
      </w:r>
    </w:p>
    <w:p w:rsidR="009268BF" w:rsidRPr="004273ED" w:rsidRDefault="009268BF" w:rsidP="00436020">
      <w:pPr>
        <w:spacing w:after="0" w:line="240" w:lineRule="auto"/>
      </w:pPr>
    </w:p>
    <w:p w:rsidR="009268BF" w:rsidRPr="004273ED" w:rsidRDefault="009268BF" w:rsidP="00436020">
      <w:pPr>
        <w:spacing w:after="0" w:line="240" w:lineRule="auto"/>
      </w:pPr>
    </w:p>
    <w:p w:rsidR="009268BF" w:rsidRPr="004273ED" w:rsidRDefault="009268BF" w:rsidP="00436020">
      <w:pPr>
        <w:spacing w:after="0" w:line="240" w:lineRule="auto"/>
      </w:pPr>
    </w:p>
    <w:p w:rsidR="00436020" w:rsidRPr="004273ED" w:rsidRDefault="00436020" w:rsidP="00436020">
      <w:pPr>
        <w:spacing w:after="0" w:line="240" w:lineRule="auto"/>
      </w:pPr>
    </w:p>
    <w:p w:rsidR="00436020" w:rsidRPr="004273ED" w:rsidRDefault="00436020" w:rsidP="00436020">
      <w:pPr>
        <w:spacing w:after="0" w:line="240" w:lineRule="auto"/>
      </w:pPr>
    </w:p>
    <w:p w:rsidR="009268BF" w:rsidRPr="004273ED" w:rsidRDefault="009268BF" w:rsidP="00436020">
      <w:pPr>
        <w:spacing w:after="0" w:line="240" w:lineRule="auto"/>
      </w:pPr>
    </w:p>
    <w:p w:rsidR="009268BF" w:rsidRPr="004273ED" w:rsidRDefault="009268BF" w:rsidP="00B64F20">
      <w:pPr>
        <w:spacing w:after="0" w:line="240" w:lineRule="auto"/>
        <w:jc w:val="center"/>
      </w:pPr>
      <w:r w:rsidRPr="004273ED">
        <w:rPr>
          <w:noProof/>
          <w:lang w:eastAsia="cs-CZ"/>
        </w:rPr>
        <w:drawing>
          <wp:inline distT="0" distB="0" distL="0" distR="0" wp14:anchorId="63433576" wp14:editId="2466D998">
            <wp:extent cx="5972810" cy="4162425"/>
            <wp:effectExtent l="0" t="0" r="8890" b="9525"/>
            <wp:docPr id="3079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268BF" w:rsidRPr="004273ED" w:rsidRDefault="009268BF" w:rsidP="00436020">
      <w:pPr>
        <w:spacing w:after="0" w:line="240" w:lineRule="auto"/>
      </w:pPr>
    </w:p>
    <w:p w:rsidR="009A3B5A" w:rsidRPr="004273ED" w:rsidRDefault="009A3B5A" w:rsidP="00436020">
      <w:pPr>
        <w:spacing w:after="0" w:line="240" w:lineRule="auto"/>
      </w:pPr>
    </w:p>
    <w:p w:rsidR="009A3B5A" w:rsidRPr="004273ED" w:rsidRDefault="009A3B5A" w:rsidP="00436020">
      <w:pPr>
        <w:spacing w:after="0" w:line="240" w:lineRule="auto"/>
      </w:pPr>
    </w:p>
    <w:p w:rsidR="00C44B51" w:rsidRPr="004273ED" w:rsidRDefault="00C44B51" w:rsidP="00436020">
      <w:pPr>
        <w:spacing w:after="0" w:line="240" w:lineRule="auto"/>
      </w:pPr>
    </w:p>
    <w:p w:rsidR="00DC4C5A" w:rsidRPr="004273ED" w:rsidRDefault="00DC4C5A" w:rsidP="00436020">
      <w:pPr>
        <w:spacing w:after="0" w:line="240" w:lineRule="auto"/>
      </w:pPr>
    </w:p>
    <w:p w:rsidR="009A3B5A" w:rsidRPr="004273ED" w:rsidRDefault="00C44B51" w:rsidP="00436020">
      <w:pPr>
        <w:spacing w:after="0" w:line="240" w:lineRule="auto"/>
      </w:pPr>
      <w:r w:rsidRPr="004273ED">
        <w:rPr>
          <w:b/>
        </w:rPr>
        <w:t xml:space="preserve">Zpracoval: </w:t>
      </w:r>
      <w:r w:rsidRPr="004273ED">
        <w:t>Bc. Michal Tuček</w:t>
      </w:r>
    </w:p>
    <w:p w:rsidR="009A3B5A" w:rsidRPr="004273ED" w:rsidRDefault="0052722D" w:rsidP="00436020">
      <w:pPr>
        <w:spacing w:after="0" w:line="240" w:lineRule="auto"/>
      </w:pPr>
      <w:hyperlink r:id="rId11" w:history="1">
        <w:r w:rsidR="00C44B51" w:rsidRPr="004273ED">
          <w:rPr>
            <w:rStyle w:val="Hypertextovodkaz"/>
            <w:color w:val="auto"/>
          </w:rPr>
          <w:t>http://portal.mpsv.cz/upcr/kp/ulk/informace/bulletiny</w:t>
        </w:r>
      </w:hyperlink>
    </w:p>
    <w:p w:rsidR="00C44B51" w:rsidRPr="004273ED" w:rsidRDefault="00C44B51" w:rsidP="00436020">
      <w:pPr>
        <w:spacing w:after="0" w:line="240" w:lineRule="auto"/>
        <w:rPr>
          <w:b/>
          <w:bCs/>
          <w:u w:val="single"/>
        </w:rPr>
      </w:pPr>
    </w:p>
    <w:p w:rsidR="00AB2108" w:rsidRPr="00D903DC" w:rsidRDefault="00AB2108" w:rsidP="00436020">
      <w:pPr>
        <w:spacing w:after="0" w:line="240" w:lineRule="auto"/>
        <w:rPr>
          <w:b/>
          <w:bCs/>
          <w:u w:val="single"/>
        </w:rPr>
      </w:pPr>
      <w:r w:rsidRPr="00D903DC">
        <w:rPr>
          <w:b/>
          <w:bCs/>
          <w:u w:val="single"/>
        </w:rPr>
        <w:lastRenderedPageBreak/>
        <w:t>Osnova:</w:t>
      </w:r>
    </w:p>
    <w:p w:rsidR="00F24DBC" w:rsidRPr="00D903DC" w:rsidRDefault="00F24DBC" w:rsidP="00436020">
      <w:pPr>
        <w:spacing w:after="0" w:line="240" w:lineRule="auto"/>
        <w:rPr>
          <w:b/>
        </w:rPr>
      </w:pPr>
    </w:p>
    <w:p w:rsidR="00436020" w:rsidRPr="00D903DC" w:rsidRDefault="00436020" w:rsidP="00436020">
      <w:pPr>
        <w:spacing w:after="0" w:line="240" w:lineRule="auto"/>
        <w:rPr>
          <w:b/>
        </w:rPr>
      </w:pPr>
    </w:p>
    <w:p w:rsidR="00D903DC" w:rsidRPr="00D903DC" w:rsidRDefault="00AB210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D903DC">
        <w:rPr>
          <w:rFonts w:asciiTheme="minorHAnsi" w:hAnsiTheme="minorHAnsi"/>
          <w:color w:val="auto"/>
          <w:sz w:val="22"/>
          <w:szCs w:val="22"/>
        </w:rPr>
        <w:fldChar w:fldCharType="begin"/>
      </w:r>
      <w:r w:rsidRPr="00D903DC">
        <w:rPr>
          <w:rFonts w:asciiTheme="minorHAnsi" w:hAnsiTheme="minorHAnsi"/>
          <w:color w:val="auto"/>
          <w:sz w:val="22"/>
          <w:szCs w:val="22"/>
        </w:rPr>
        <w:instrText xml:space="preserve"> TOC \o "1-2" \h \z \u </w:instrText>
      </w:r>
      <w:r w:rsidRPr="00D903DC">
        <w:rPr>
          <w:rFonts w:asciiTheme="minorHAnsi" w:hAnsiTheme="minorHAnsi"/>
          <w:color w:val="auto"/>
          <w:sz w:val="22"/>
          <w:szCs w:val="22"/>
        </w:rPr>
        <w:fldChar w:fldCharType="separate"/>
      </w:r>
      <w:hyperlink w:anchor="_Toc393271590" w:history="1">
        <w:r w:rsidR="00D903DC" w:rsidRPr="00D903D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1. informace o nezaměstnanosti v Ústeckém kraji k 30. 6. 2014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_Toc393271590 \h </w:instrTex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>2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D903DC" w:rsidRPr="00D903DC" w:rsidRDefault="0052722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93271591" w:history="1">
        <w:r w:rsidR="00D903DC" w:rsidRPr="00D903D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2. charakteristika vývoje nezaměstnanosti a volných pracovních míst v Ústeckém kraji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_Toc393271591 \h </w:instrTex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>3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D903DC" w:rsidRPr="00D903DC" w:rsidRDefault="0052722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93271592" w:history="1">
        <w:r w:rsidR="00D903DC" w:rsidRPr="00D903D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3. MAPOVÁNÍ PREDIKCE TRENDŮ ZAMĚSTNANOSTI A POTŘEB ZAMĚSTNAVATELŮ V ÚSTECKÉM KRAJI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_Toc393271592 \h </w:instrTex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>7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D903DC" w:rsidRPr="00D903DC" w:rsidRDefault="0052722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93271593" w:history="1">
        <w:r w:rsidR="00D903DC" w:rsidRPr="00D903D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4. REALIZACE AKTIVNÍ POLITIKY ZAMĚSTNANOSTI V ÚSTECKÉM KRAJI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_Toc393271593 \h </w:instrTex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>8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D903DC" w:rsidRPr="00D903DC" w:rsidRDefault="0052722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93271594" w:history="1">
        <w:r w:rsidR="00D903DC" w:rsidRPr="00D903D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5. POSKYTNUTÉ nepojistné sociální dávky V ÚSTECKÉM KRAJI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_Toc393271594 \h </w:instrTex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>11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D903DC" w:rsidRPr="00D903DC" w:rsidRDefault="0052722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93271595" w:history="1">
        <w:r w:rsidR="00D903DC" w:rsidRPr="00D903D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6. projekty spolufinancované z esf REALIZOVANÉ NA KRP ÚSTÍ NAD LABEM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_Toc393271595 \h </w:instrTex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>12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D903DC" w:rsidRPr="00D903DC" w:rsidRDefault="0052722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93271596" w:history="1">
        <w:r w:rsidR="00D903DC" w:rsidRPr="00D903D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7. Veřejná služba realizovaná v Ústeckém kraji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_Toc393271596 \h </w:instrTex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>13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D903DC" w:rsidRPr="00D903DC" w:rsidRDefault="0052722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93271597" w:history="1">
        <w:r w:rsidR="00D903DC" w:rsidRPr="00D903D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8. Aktivity eures poradce V ÚSTECKÉM KRAJI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_Toc393271597 \h </w:instrTex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>14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D903DC" w:rsidRPr="00D903DC" w:rsidRDefault="0052722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93271598" w:history="1">
        <w:r w:rsidR="00D903DC" w:rsidRPr="00D903D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9. Kontrolní a inspekční činnost NA KRP ÚSTÍ NAD lABEM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_Toc393271598 \h </w:instrTex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>15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D903DC" w:rsidRPr="00D903DC" w:rsidRDefault="0052722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93271599" w:history="1">
        <w:r w:rsidR="00D903DC" w:rsidRPr="00D903D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10. Podpora odborného vzdělávání zaměstnanců v Ústeckém kraji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_Toc393271599 \h </w:instrTex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>15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D903DC" w:rsidRPr="00D903DC" w:rsidRDefault="0052722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93271600" w:history="1">
        <w:r w:rsidR="00D903DC" w:rsidRPr="00D903D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11. zahraniční zaměstnanost V ÚSTECKÉM KRAJI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_Toc393271600 \h </w:instrTex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>16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D903DC" w:rsidRPr="00D903DC" w:rsidRDefault="0052722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93271601" w:history="1">
        <w:r w:rsidR="00D903DC" w:rsidRPr="00D903DC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12. přílohy - podíl nezaměstnaných v obcích Ústeckého kraje k 30. 6. 2014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_Toc393271601 \h </w:instrTex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t>17</w:t>
        </w:r>
        <w:r w:rsidR="00D903DC" w:rsidRPr="00D903DC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AB2108" w:rsidRPr="00D903DC" w:rsidRDefault="00AB2108" w:rsidP="00436020">
      <w:pPr>
        <w:spacing w:after="0" w:line="240" w:lineRule="auto"/>
        <w:jc w:val="both"/>
      </w:pPr>
      <w:r w:rsidRPr="00D903DC">
        <w:fldChar w:fldCharType="end"/>
      </w:r>
    </w:p>
    <w:p w:rsidR="00AB2108" w:rsidRDefault="00AB2108" w:rsidP="00390044">
      <w:pPr>
        <w:spacing w:after="0" w:line="240" w:lineRule="auto"/>
        <w:jc w:val="both"/>
      </w:pPr>
    </w:p>
    <w:p w:rsidR="00D903DC" w:rsidRDefault="00D903DC" w:rsidP="00390044">
      <w:pPr>
        <w:spacing w:after="0" w:line="240" w:lineRule="auto"/>
        <w:jc w:val="both"/>
      </w:pPr>
    </w:p>
    <w:p w:rsidR="00D903DC" w:rsidRDefault="00D903DC" w:rsidP="00390044">
      <w:pPr>
        <w:spacing w:after="0" w:line="240" w:lineRule="auto"/>
        <w:jc w:val="both"/>
      </w:pPr>
    </w:p>
    <w:p w:rsidR="00D903DC" w:rsidRDefault="00D903DC" w:rsidP="00390044">
      <w:pPr>
        <w:spacing w:after="0" w:line="240" w:lineRule="auto"/>
        <w:jc w:val="both"/>
      </w:pPr>
    </w:p>
    <w:p w:rsidR="00D903DC" w:rsidRDefault="00D903DC" w:rsidP="00390044">
      <w:pPr>
        <w:spacing w:after="0" w:line="240" w:lineRule="auto"/>
        <w:jc w:val="both"/>
      </w:pPr>
    </w:p>
    <w:p w:rsidR="00D903DC" w:rsidRDefault="00D903DC" w:rsidP="00390044">
      <w:pPr>
        <w:spacing w:after="0" w:line="240" w:lineRule="auto"/>
        <w:jc w:val="both"/>
      </w:pPr>
    </w:p>
    <w:p w:rsidR="00D903DC" w:rsidRDefault="00D903DC" w:rsidP="00390044">
      <w:pPr>
        <w:spacing w:after="0" w:line="240" w:lineRule="auto"/>
        <w:jc w:val="both"/>
      </w:pPr>
    </w:p>
    <w:p w:rsidR="00D903DC" w:rsidRDefault="00D903DC" w:rsidP="00390044">
      <w:pPr>
        <w:spacing w:after="0" w:line="240" w:lineRule="auto"/>
        <w:jc w:val="both"/>
      </w:pPr>
    </w:p>
    <w:p w:rsidR="00D903DC" w:rsidRDefault="00D903DC" w:rsidP="00390044">
      <w:pPr>
        <w:spacing w:after="0" w:line="240" w:lineRule="auto"/>
        <w:jc w:val="both"/>
      </w:pPr>
    </w:p>
    <w:p w:rsidR="00D903DC" w:rsidRDefault="00D903DC" w:rsidP="00390044">
      <w:pPr>
        <w:spacing w:after="0" w:line="240" w:lineRule="auto"/>
        <w:jc w:val="both"/>
      </w:pPr>
    </w:p>
    <w:p w:rsidR="00D903DC" w:rsidRDefault="00D903DC" w:rsidP="00390044">
      <w:pPr>
        <w:spacing w:after="0" w:line="240" w:lineRule="auto"/>
        <w:jc w:val="both"/>
      </w:pPr>
    </w:p>
    <w:p w:rsidR="00D903DC" w:rsidRDefault="00D903DC" w:rsidP="00390044">
      <w:pPr>
        <w:spacing w:after="0" w:line="240" w:lineRule="auto"/>
        <w:jc w:val="both"/>
      </w:pPr>
    </w:p>
    <w:p w:rsidR="00D903DC" w:rsidRDefault="00D903DC" w:rsidP="00390044">
      <w:pPr>
        <w:spacing w:after="0" w:line="240" w:lineRule="auto"/>
        <w:jc w:val="both"/>
      </w:pPr>
    </w:p>
    <w:p w:rsidR="00D903DC" w:rsidRPr="00D903DC" w:rsidRDefault="00D903DC" w:rsidP="00390044">
      <w:pPr>
        <w:spacing w:after="0" w:line="240" w:lineRule="auto"/>
        <w:jc w:val="both"/>
      </w:pPr>
    </w:p>
    <w:p w:rsidR="007447E3" w:rsidRPr="00D903DC" w:rsidRDefault="007447E3" w:rsidP="00390044">
      <w:pPr>
        <w:pStyle w:val="Nadpis1"/>
        <w:rPr>
          <w:b/>
          <w:caps/>
          <w:szCs w:val="22"/>
        </w:rPr>
      </w:pPr>
      <w:bookmarkStart w:id="0" w:name="_Toc393271590"/>
      <w:r w:rsidRPr="00D903DC">
        <w:rPr>
          <w:b/>
          <w:caps/>
          <w:szCs w:val="22"/>
        </w:rPr>
        <w:lastRenderedPageBreak/>
        <w:t xml:space="preserve">1. </w:t>
      </w:r>
      <w:r w:rsidR="00C44B51" w:rsidRPr="00D903DC">
        <w:rPr>
          <w:b/>
          <w:caps/>
          <w:szCs w:val="22"/>
        </w:rPr>
        <w:t xml:space="preserve">informace o nezaměstnanosti v Ústeckém kraji </w:t>
      </w:r>
      <w:r w:rsidR="00293C3D" w:rsidRPr="00D903DC">
        <w:rPr>
          <w:b/>
          <w:caps/>
          <w:szCs w:val="22"/>
        </w:rPr>
        <w:t>k 3</w:t>
      </w:r>
      <w:r w:rsidR="0033145A" w:rsidRPr="00D903DC">
        <w:rPr>
          <w:b/>
          <w:caps/>
          <w:szCs w:val="22"/>
        </w:rPr>
        <w:t>0</w:t>
      </w:r>
      <w:r w:rsidR="00293C3D" w:rsidRPr="00D903DC">
        <w:rPr>
          <w:b/>
          <w:caps/>
          <w:szCs w:val="22"/>
        </w:rPr>
        <w:t xml:space="preserve">. </w:t>
      </w:r>
      <w:r w:rsidR="0033145A" w:rsidRPr="00D903DC">
        <w:rPr>
          <w:b/>
          <w:caps/>
          <w:szCs w:val="22"/>
        </w:rPr>
        <w:t>6</w:t>
      </w:r>
      <w:r w:rsidR="00C44B51" w:rsidRPr="00D903DC">
        <w:rPr>
          <w:b/>
          <w:caps/>
          <w:szCs w:val="22"/>
        </w:rPr>
        <w:t>. 201</w:t>
      </w:r>
      <w:r w:rsidR="00E47BCB" w:rsidRPr="00D903DC">
        <w:rPr>
          <w:b/>
          <w:caps/>
          <w:szCs w:val="22"/>
        </w:rPr>
        <w:t>4</w:t>
      </w:r>
      <w:bookmarkEnd w:id="0"/>
    </w:p>
    <w:p w:rsidR="0033145A" w:rsidRPr="00D903DC" w:rsidRDefault="0033145A" w:rsidP="00390044">
      <w:pPr>
        <w:spacing w:after="0" w:line="240" w:lineRule="auto"/>
        <w:jc w:val="both"/>
        <w:rPr>
          <w:rFonts w:cs="Arial"/>
        </w:rPr>
      </w:pPr>
    </w:p>
    <w:p w:rsidR="00390044" w:rsidRPr="00D903DC" w:rsidRDefault="0033145A" w:rsidP="00390044">
      <w:pPr>
        <w:spacing w:after="0" w:line="240" w:lineRule="auto"/>
        <w:ind w:firstLine="708"/>
        <w:jc w:val="both"/>
        <w:rPr>
          <w:rFonts w:cs="Arial"/>
          <w:bCs/>
        </w:rPr>
      </w:pPr>
      <w:r w:rsidRPr="00D903DC">
        <w:rPr>
          <w:rFonts w:cs="Arial"/>
        </w:rPr>
        <w:t xml:space="preserve">     </w:t>
      </w:r>
      <w:r w:rsidR="00390044" w:rsidRPr="00D903DC">
        <w:rPr>
          <w:rFonts w:cs="Arial"/>
        </w:rPr>
        <w:t>V červnu celkový počet uchazečů o zaměstnání klesl o 1,77 % na 61 845 osob</w:t>
      </w:r>
      <w:r w:rsidR="00390044" w:rsidRPr="00D903DC">
        <w:rPr>
          <w:bCs/>
        </w:rPr>
        <w:t>,</w:t>
      </w:r>
      <w:r w:rsidR="00390044" w:rsidRPr="00D903DC">
        <w:rPr>
          <w:rFonts w:cs="Arial"/>
        </w:rPr>
        <w:t> počet hlášených volných pracovních míst vzrostl o 4,25 % na 3 315 a podíl nezaměstnaných osob na obyvatelstvu ve věku</w:t>
      </w:r>
      <w:r w:rsidR="00390044" w:rsidRPr="00D903DC">
        <w:rPr>
          <w:rFonts w:cs="Arial"/>
        </w:rPr>
        <w:br/>
        <w:t>15 - 64 let klesl na stávajících 10,82 %. Nezaměstnanost v Ústeckém kraji tak celkově opět klesla, což je v průběhu jarních měsíců očekávaný jev, který se každoročně opakuje. Okres s největším poklesem nezaměstnaných je stejně jako v měsíci květnu Děčín.</w:t>
      </w:r>
    </w:p>
    <w:p w:rsidR="00390044" w:rsidRPr="00D903DC" w:rsidRDefault="00390044" w:rsidP="00390044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D903DC">
        <w:rPr>
          <w:rFonts w:cs="Arial"/>
          <w:bCs/>
        </w:rPr>
        <w:t xml:space="preserve">K 30. 6. 2014 evidoval Úřad práce ČR (ÚP ČR), Krajská pobočka v Ústí nad Labem celkem </w:t>
      </w:r>
      <w:r w:rsidRPr="00D903DC">
        <w:rPr>
          <w:rFonts w:cs="Arial"/>
          <w:b/>
          <w:bCs/>
        </w:rPr>
        <w:t>61 845 uchazečů o zaměstnání</w:t>
      </w:r>
      <w:r w:rsidRPr="00D903DC">
        <w:rPr>
          <w:rFonts w:cs="Arial"/>
        </w:rPr>
        <w:t xml:space="preserve">. Jejich počet byl o 1 115 nižší než na konci předchozího měsíce. Ve srovnání se stejným obdobím minulého roku je nižší o 1 193 osob. Z tohoto počtu bylo </w:t>
      </w:r>
      <w:r w:rsidRPr="00D903DC">
        <w:rPr>
          <w:rFonts w:cs="Arial"/>
          <w:b/>
        </w:rPr>
        <w:t xml:space="preserve">60 355 </w:t>
      </w:r>
      <w:r w:rsidRPr="00D903DC">
        <w:rPr>
          <w:rFonts w:cs="Arial"/>
          <w:b/>
          <w:bCs/>
        </w:rPr>
        <w:t>dosažitelných</w:t>
      </w:r>
      <w:r w:rsidRPr="00D903DC">
        <w:rPr>
          <w:rFonts w:cs="Arial"/>
          <w:bCs/>
        </w:rPr>
        <w:t xml:space="preserve"> uchazečů o zaměstnání ve věku 15 - 64 let</w:t>
      </w:r>
      <w:r w:rsidRPr="00D903DC">
        <w:rPr>
          <w:rFonts w:cs="Arial"/>
        </w:rPr>
        <w:t>. Bylo to o 1 091 méně než na konci předchozího měsíce.</w:t>
      </w:r>
    </w:p>
    <w:p w:rsidR="00390044" w:rsidRPr="00D903DC" w:rsidRDefault="00390044" w:rsidP="00390044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D903DC">
        <w:rPr>
          <w:rFonts w:cs="Arial"/>
          <w:bCs/>
        </w:rPr>
        <w:t>V průběhu měsíce bylo nově zaevidováno 4 316 osob. Ve srovnání s minulým měsícem to bylo více o 126</w:t>
      </w:r>
      <w:r w:rsidRPr="00D903DC">
        <w:rPr>
          <w:rFonts w:cs="Arial"/>
        </w:rPr>
        <w:t> </w:t>
      </w:r>
      <w:r w:rsidRPr="00D903DC">
        <w:rPr>
          <w:rFonts w:cs="Arial"/>
          <w:bCs/>
        </w:rPr>
        <w:t xml:space="preserve">osob a stejně tak v porovnání se stejným obdobím předchozího roku to je více </w:t>
      </w:r>
      <w:r w:rsidRPr="00D903DC">
        <w:rPr>
          <w:rFonts w:cs="Arial"/>
        </w:rPr>
        <w:t xml:space="preserve">o 410 osob. </w:t>
      </w:r>
    </w:p>
    <w:p w:rsidR="00390044" w:rsidRPr="00D903DC" w:rsidRDefault="00390044" w:rsidP="00390044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D903DC">
        <w:rPr>
          <w:rFonts w:cs="Arial"/>
          <w:bCs/>
        </w:rPr>
        <w:t xml:space="preserve">Z evidence během měsíce června odešlo celkem 5 431 uchazečů </w:t>
      </w:r>
      <w:r w:rsidRPr="00D903DC">
        <w:rPr>
          <w:rFonts w:cs="Arial"/>
        </w:rPr>
        <w:t>(ukončená evidence, vyřazení uchazeči). Bylo to o 619 osob méně než v předchozím měsíci, ale o 784 osob více než ve stejném měsíci minulého roku. Do zaměstnání z nich ve sledovaném měsíci nastoupilo 3 511, tj. o 649 méně</w:t>
      </w:r>
      <w:r w:rsidRPr="00D903DC">
        <w:rPr>
          <w:rFonts w:cs="Arial"/>
        </w:rPr>
        <w:br/>
        <w:t>než v předchozím měsíci, ale o 971 více než ve stejném měsíci minulého roku, 881 uchazečů o zaměstnání bylo umístěno prostřednictvím ÚP ČR, 2 630 umístěno jiným způsobem, 824 vyřazeno sankčně a 1 096 z jiných důvodů.</w:t>
      </w:r>
    </w:p>
    <w:p w:rsidR="00390044" w:rsidRPr="00D903DC" w:rsidRDefault="00390044" w:rsidP="00390044">
      <w:pPr>
        <w:spacing w:after="0" w:line="240" w:lineRule="auto"/>
        <w:ind w:firstLine="708"/>
        <w:contextualSpacing/>
        <w:jc w:val="both"/>
        <w:rPr>
          <w:rFonts w:cs="Arial"/>
          <w:bCs/>
        </w:rPr>
      </w:pPr>
      <w:r w:rsidRPr="00D903DC">
        <w:rPr>
          <w:rFonts w:cs="Arial"/>
          <w:bCs/>
        </w:rPr>
        <w:t>Meziměsíční</w:t>
      </w:r>
      <w:r w:rsidRPr="00D903DC">
        <w:rPr>
          <w:rFonts w:cs="Arial"/>
        </w:rPr>
        <w:t xml:space="preserve"> pokles evidovaných uchazečů o zaměstnání </w:t>
      </w:r>
      <w:r w:rsidRPr="00D903DC">
        <w:rPr>
          <w:rFonts w:cs="Arial"/>
          <w:bCs/>
        </w:rPr>
        <w:t xml:space="preserve">byl </w:t>
      </w:r>
      <w:r w:rsidRPr="00D903DC">
        <w:rPr>
          <w:rFonts w:cs="Arial"/>
        </w:rPr>
        <w:t>zaznamenán ve všech okresech Ústeckého kraje. Největší připadal na okres Děčín (</w:t>
      </w:r>
      <w:r w:rsidR="00046974" w:rsidRPr="00D903DC">
        <w:rPr>
          <w:rFonts w:cs="Arial"/>
        </w:rPr>
        <w:t>-</w:t>
      </w:r>
      <w:r w:rsidRPr="00D903DC">
        <w:rPr>
          <w:rFonts w:cs="Arial"/>
        </w:rPr>
        <w:t xml:space="preserve">2,88 %, 9 210 </w:t>
      </w:r>
      <w:proofErr w:type="spellStart"/>
      <w:r w:rsidRPr="00D903DC">
        <w:rPr>
          <w:rFonts w:cs="Arial"/>
        </w:rPr>
        <w:t>UoZ</w:t>
      </w:r>
      <w:proofErr w:type="spellEnd"/>
      <w:r w:rsidRPr="00D903DC">
        <w:rPr>
          <w:rFonts w:cs="Arial"/>
        </w:rPr>
        <w:t>), nejmenší naopak na okres Ústí n. L.</w:t>
      </w:r>
      <w:r w:rsidRPr="00D903DC">
        <w:rPr>
          <w:rFonts w:cs="Arial"/>
        </w:rPr>
        <w:br/>
        <w:t>(</w:t>
      </w:r>
      <w:r w:rsidR="00046974" w:rsidRPr="00D903DC">
        <w:rPr>
          <w:rFonts w:cs="Arial"/>
        </w:rPr>
        <w:t>-</w:t>
      </w:r>
      <w:r w:rsidRPr="00D903DC">
        <w:rPr>
          <w:rFonts w:cs="Arial"/>
        </w:rPr>
        <w:t xml:space="preserve">0,61 %, 10 180 </w:t>
      </w:r>
      <w:proofErr w:type="spellStart"/>
      <w:r w:rsidRPr="00D903DC">
        <w:rPr>
          <w:rFonts w:cs="Arial"/>
        </w:rPr>
        <w:t>UoZ</w:t>
      </w:r>
      <w:proofErr w:type="spellEnd"/>
      <w:r w:rsidRPr="00D903DC">
        <w:rPr>
          <w:rFonts w:cs="Arial"/>
        </w:rPr>
        <w:t xml:space="preserve">). </w:t>
      </w:r>
    </w:p>
    <w:p w:rsidR="00390044" w:rsidRPr="00D903DC" w:rsidRDefault="00390044" w:rsidP="00390044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D903DC">
        <w:rPr>
          <w:rFonts w:cs="Arial"/>
          <w:bCs/>
        </w:rPr>
        <w:t>Ke konci měsíce bylo evidováno na ÚP ČR, Krajské pobočce v </w:t>
      </w:r>
      <w:r w:rsidRPr="00D903DC">
        <w:rPr>
          <w:rFonts w:cs="Arial"/>
          <w:b/>
          <w:bCs/>
        </w:rPr>
        <w:t>31 116 žen</w:t>
      </w:r>
      <w:r w:rsidRPr="00D903DC">
        <w:rPr>
          <w:rFonts w:cs="Arial"/>
        </w:rPr>
        <w:t xml:space="preserve">. Jejich podíl na celkovém počtu uchazečů činil 50,3 %. </w:t>
      </w:r>
      <w:r w:rsidRPr="00D903DC">
        <w:rPr>
          <w:rFonts w:cs="Arial"/>
          <w:b/>
          <w:bCs/>
        </w:rPr>
        <w:t>Podporu v nezaměstnanosti</w:t>
      </w:r>
      <w:r w:rsidRPr="00D903DC">
        <w:rPr>
          <w:rFonts w:cs="Arial"/>
          <w:bCs/>
        </w:rPr>
        <w:t xml:space="preserve"> pobíralo </w:t>
      </w:r>
      <w:r w:rsidRPr="00D903DC">
        <w:rPr>
          <w:rFonts w:cs="Arial"/>
          <w:b/>
          <w:bCs/>
        </w:rPr>
        <w:t>8 934 uchazečů</w:t>
      </w:r>
      <w:r w:rsidRPr="00D903DC">
        <w:rPr>
          <w:rFonts w:cs="Arial"/>
        </w:rPr>
        <w:t xml:space="preserve"> </w:t>
      </w:r>
      <w:r w:rsidRPr="00D903DC">
        <w:rPr>
          <w:rFonts w:cs="Arial"/>
          <w:bCs/>
        </w:rPr>
        <w:t>o zaměstnání</w:t>
      </w:r>
      <w:r w:rsidRPr="00D903DC">
        <w:rPr>
          <w:rFonts w:cs="Arial"/>
        </w:rPr>
        <w:t xml:space="preserve">, tj. 14,4 % všech uchazečů v evidenci. V evidenci bylo </w:t>
      </w:r>
      <w:r w:rsidRPr="00D903DC">
        <w:rPr>
          <w:rFonts w:cs="Arial"/>
          <w:b/>
        </w:rPr>
        <w:t>7 160 o</w:t>
      </w:r>
      <w:r w:rsidRPr="00D903DC">
        <w:rPr>
          <w:rFonts w:cs="Arial"/>
          <w:b/>
          <w:bCs/>
        </w:rPr>
        <w:t xml:space="preserve">sob se zdravotním postižením </w:t>
      </w:r>
      <w:r w:rsidRPr="00D903DC">
        <w:rPr>
          <w:rFonts w:cs="Arial"/>
          <w:bCs/>
        </w:rPr>
        <w:t>(OZP)</w:t>
      </w:r>
      <w:r w:rsidRPr="00D903DC">
        <w:rPr>
          <w:rFonts w:cs="Arial"/>
        </w:rPr>
        <w:t>, což představovalo 11,6 % z celkového počtu nezaměstnaných.</w:t>
      </w:r>
    </w:p>
    <w:p w:rsidR="00390044" w:rsidRPr="00D903DC" w:rsidRDefault="00390044" w:rsidP="00390044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D903DC">
        <w:rPr>
          <w:rFonts w:cs="Arial"/>
          <w:bCs/>
        </w:rPr>
        <w:t xml:space="preserve">Ke konci června bylo evidováno </w:t>
      </w:r>
      <w:r w:rsidRPr="00D903DC">
        <w:rPr>
          <w:rFonts w:cs="Arial"/>
          <w:b/>
          <w:bCs/>
        </w:rPr>
        <w:t>2 263 absolventů</w:t>
      </w:r>
      <w:r w:rsidRPr="00D903DC">
        <w:rPr>
          <w:rFonts w:cs="Arial"/>
          <w:bCs/>
        </w:rPr>
        <w:t xml:space="preserve"> škol</w:t>
      </w:r>
      <w:r w:rsidRPr="00D903DC">
        <w:rPr>
          <w:rFonts w:cs="Arial"/>
        </w:rPr>
        <w:t xml:space="preserve"> všech stupňů vzdělání </w:t>
      </w:r>
      <w:r w:rsidRPr="00D903DC">
        <w:rPr>
          <w:rFonts w:cs="Arial"/>
          <w:b/>
          <w:bCs/>
        </w:rPr>
        <w:t>a mladistvých</w:t>
      </w:r>
      <w:r w:rsidRPr="00D903DC">
        <w:rPr>
          <w:rFonts w:cs="Arial"/>
        </w:rPr>
        <w:t>,</w:t>
      </w:r>
      <w:r w:rsidRPr="00D903DC">
        <w:rPr>
          <w:rFonts w:cs="Arial"/>
        </w:rPr>
        <w:br/>
        <w:t xml:space="preserve">jejichž počet klesl ve srovnání s předchozím měsícem o 338 osob a ve srovnání se stejným měsícem minulého roku byl nižší o 645 osob. Na celkové nezaměstnanosti se podíleli 3,7 %. </w:t>
      </w:r>
    </w:p>
    <w:p w:rsidR="00390044" w:rsidRPr="00D903DC" w:rsidRDefault="00390044" w:rsidP="003900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D903DC">
        <w:rPr>
          <w:rFonts w:cs="Arial"/>
          <w:bCs/>
        </w:rPr>
        <w:tab/>
      </w:r>
      <w:r w:rsidRPr="00D903DC">
        <w:rPr>
          <w:rFonts w:cs="Arial"/>
          <w:b/>
          <w:bCs/>
        </w:rPr>
        <w:t>P</w:t>
      </w:r>
      <w:r w:rsidRPr="00D903DC">
        <w:rPr>
          <w:rFonts w:cs="Arial"/>
          <w:b/>
        </w:rPr>
        <w:t>odíl nezaměstnaných osob</w:t>
      </w:r>
      <w:r w:rsidRPr="00D903DC">
        <w:rPr>
          <w:rFonts w:cs="Arial"/>
        </w:rPr>
        <w:t xml:space="preserve">, tj. počet dosažitelných uchazečů o zaměstnání ve věku 15 - 64 let k obyvatelstvu stejného věku, </w:t>
      </w:r>
      <w:r w:rsidRPr="00D903DC">
        <w:rPr>
          <w:rFonts w:cs="Arial"/>
          <w:bCs/>
        </w:rPr>
        <w:t xml:space="preserve">klesl k 30. 6. 2014 na </w:t>
      </w:r>
      <w:r w:rsidRPr="00D903DC">
        <w:rPr>
          <w:rFonts w:cs="Arial"/>
          <w:b/>
          <w:bCs/>
        </w:rPr>
        <w:t>10,82 %.</w:t>
      </w:r>
      <w:r w:rsidRPr="00D903DC">
        <w:rPr>
          <w:rFonts w:cs="Arial"/>
        </w:rPr>
        <w:t xml:space="preserve"> </w:t>
      </w:r>
      <w:r w:rsidRPr="00D903DC">
        <w:rPr>
          <w:rFonts w:cs="Arial"/>
          <w:bCs/>
        </w:rPr>
        <w:t>Podíl nezaměstnaných žen klesl na 11,08 %</w:t>
      </w:r>
      <w:r w:rsidRPr="00D903DC">
        <w:rPr>
          <w:rFonts w:cs="Arial"/>
          <w:bCs/>
        </w:rPr>
        <w:br/>
        <w:t>a podíl nezaměstnaných mužů na 10,57 %.</w:t>
      </w:r>
    </w:p>
    <w:p w:rsidR="00390044" w:rsidRPr="00D903DC" w:rsidRDefault="00390044" w:rsidP="003900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D903DC">
        <w:rPr>
          <w:rFonts w:cs="Arial"/>
        </w:rPr>
        <w:tab/>
        <w:t xml:space="preserve">Podíl nezaměstnaných </w:t>
      </w:r>
      <w:r w:rsidRPr="00D903DC">
        <w:rPr>
          <w:rFonts w:cs="Arial"/>
          <w:bCs/>
        </w:rPr>
        <w:t xml:space="preserve">stejný nebo vyšší než celokrajský průměr vykázaly 3 okresy Ústeckého kraje, přičemž nejvyšší byl </w:t>
      </w:r>
      <w:r w:rsidRPr="00D903DC">
        <w:rPr>
          <w:rFonts w:cs="Arial"/>
        </w:rPr>
        <w:t>v okresech Most (13,18  %) a Ústí nad Labem (12,57 %)</w:t>
      </w:r>
      <w:r w:rsidR="00046974" w:rsidRPr="00D903DC">
        <w:rPr>
          <w:rFonts w:cs="Arial"/>
        </w:rPr>
        <w:t>, což jsou zároveň i 2 okresy s nejvyšším podílem nezaměstnaných v rámci celé ČR</w:t>
      </w:r>
      <w:r w:rsidRPr="00D903DC">
        <w:rPr>
          <w:rFonts w:cs="Arial"/>
        </w:rPr>
        <w:t xml:space="preserve">. </w:t>
      </w:r>
      <w:r w:rsidRPr="00D903DC">
        <w:rPr>
          <w:rFonts w:cs="Arial"/>
          <w:bCs/>
        </w:rPr>
        <w:t>Nejnižší podíl nezaměstnaných</w:t>
      </w:r>
      <w:r w:rsidRPr="00D903DC">
        <w:rPr>
          <w:rFonts w:cs="Arial"/>
        </w:rPr>
        <w:t xml:space="preserve"> byl zaznamenán v okresech Litoměřice (9,08 %) a Teplice (9,49 %).</w:t>
      </w:r>
      <w:r w:rsidR="00046974" w:rsidRPr="00D903DC">
        <w:rPr>
          <w:rFonts w:cs="Arial"/>
        </w:rPr>
        <w:t xml:space="preserve"> Všechny okresy Ústeckého kraje </w:t>
      </w:r>
      <w:r w:rsidRPr="00D903DC">
        <w:rPr>
          <w:rFonts w:cs="Arial"/>
        </w:rPr>
        <w:t>tak značně převyšují republikový průměr.</w:t>
      </w:r>
    </w:p>
    <w:p w:rsidR="00390044" w:rsidRPr="00D903DC" w:rsidRDefault="00390044" w:rsidP="003900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D903DC">
        <w:rPr>
          <w:rFonts w:cs="Arial"/>
          <w:bCs/>
        </w:rPr>
        <w:tab/>
        <w:t xml:space="preserve">Kraj evidoval k 30. 6. 2014 celkem </w:t>
      </w:r>
      <w:r w:rsidRPr="00D903DC">
        <w:rPr>
          <w:rFonts w:cs="Arial"/>
          <w:b/>
          <w:bCs/>
        </w:rPr>
        <w:t>3 315 volných pracovních míst</w:t>
      </w:r>
      <w:r w:rsidRPr="00D903DC">
        <w:rPr>
          <w:rFonts w:cs="Arial"/>
        </w:rPr>
        <w:t>. Jejich počet byl o 135 vyšší</w:t>
      </w:r>
      <w:r w:rsidRPr="00D903DC">
        <w:rPr>
          <w:rFonts w:cs="Arial"/>
        </w:rPr>
        <w:br/>
        <w:t xml:space="preserve">než v předchozím měsíci a o 321 vyšší než ve stejném měsíci minulého roku. Na jedno volné pracovní místo připadalo v průměru 18,7 uchazeče, z toho nejvíce v okresech Ústí nad Labem (35,6 </w:t>
      </w:r>
      <w:proofErr w:type="spellStart"/>
      <w:r w:rsidRPr="00D903DC">
        <w:rPr>
          <w:rFonts w:cs="Arial"/>
        </w:rPr>
        <w:t>UoZ</w:t>
      </w:r>
      <w:proofErr w:type="spellEnd"/>
      <w:r w:rsidRPr="00D903DC">
        <w:rPr>
          <w:rFonts w:cs="Arial"/>
        </w:rPr>
        <w:t>) a Chomutov</w:t>
      </w:r>
      <w:r w:rsidRPr="00D903DC">
        <w:rPr>
          <w:rFonts w:cs="Arial"/>
        </w:rPr>
        <w:br/>
        <w:t xml:space="preserve">(26,7 </w:t>
      </w:r>
      <w:proofErr w:type="spellStart"/>
      <w:r w:rsidRPr="00D903DC">
        <w:rPr>
          <w:rFonts w:cs="Arial"/>
        </w:rPr>
        <w:t>UoZ</w:t>
      </w:r>
      <w:proofErr w:type="spellEnd"/>
      <w:r w:rsidRPr="00D903DC">
        <w:rPr>
          <w:rFonts w:cs="Arial"/>
        </w:rPr>
        <w:t xml:space="preserve">), nejméně v okresech Litoměřice (12,9 </w:t>
      </w:r>
      <w:proofErr w:type="spellStart"/>
      <w:r w:rsidRPr="00D903DC">
        <w:rPr>
          <w:rFonts w:cs="Arial"/>
        </w:rPr>
        <w:t>UoZ</w:t>
      </w:r>
      <w:proofErr w:type="spellEnd"/>
      <w:r w:rsidRPr="00D903DC">
        <w:rPr>
          <w:rFonts w:cs="Arial"/>
        </w:rPr>
        <w:t xml:space="preserve">) a Louny (13,0 </w:t>
      </w:r>
      <w:proofErr w:type="spellStart"/>
      <w:r w:rsidRPr="00D903DC">
        <w:rPr>
          <w:rFonts w:cs="Arial"/>
        </w:rPr>
        <w:t>UoZ</w:t>
      </w:r>
      <w:proofErr w:type="spellEnd"/>
      <w:r w:rsidRPr="00D903DC">
        <w:rPr>
          <w:rFonts w:cs="Arial"/>
        </w:rPr>
        <w:t xml:space="preserve">). Z celkového počtu nahlášených volných míst bylo 463 vhodných pro osoby se ZP, na jedno volné pracovní místo tak připadalo 15,5 těchto osob. Volných pracovních míst pro absolventy a mladistvé bylo registrováno 839, na jedno volné místo připadalo 2,7 uchazečů této kategorie. </w:t>
      </w:r>
    </w:p>
    <w:p w:rsidR="00390044" w:rsidRPr="00046974" w:rsidRDefault="00390044" w:rsidP="003900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D903DC">
        <w:rPr>
          <w:rFonts w:cs="Arial"/>
        </w:rPr>
        <w:tab/>
        <w:t>V rámci aktivní politiky zaměstnanosti (APZ) bylo k 30. 6. 2014 prostřednictvím příspěvků v rámci APZ podpořeno 7 416 uchazečů. Nejčastějšími obory činností, které byly v tomto měsíci podpořeny prostřednictvím SÚPM - SVČ, byly osobní služby (kosmetika a kadeřnictví), květinářství, grafické služby</w:t>
      </w:r>
      <w:r w:rsidRPr="00D903DC">
        <w:rPr>
          <w:rFonts w:cs="Arial"/>
        </w:rPr>
        <w:br/>
        <w:t>a řemeslné profese jako vodoin</w:t>
      </w:r>
      <w:r w:rsidRPr="00046974">
        <w:rPr>
          <w:rFonts w:cs="Arial"/>
        </w:rPr>
        <w:t>stalatérství či truhlářství. V případě VPP se jedná především o pomocné</w:t>
      </w:r>
      <w:r w:rsidRPr="00046974">
        <w:rPr>
          <w:rFonts w:cs="Arial"/>
        </w:rPr>
        <w:br/>
        <w:t>a úklidové práce a v případě podpory CHPM nejčastěji o ostrahu objektů či úklidové služby. Nově se začíná rozbíhat nástroj aktivizační pracovní příležitost, u kterého se jedná o obdobné činnosti jako v případě VPP.</w:t>
      </w:r>
    </w:p>
    <w:p w:rsidR="00046974" w:rsidRDefault="00390044" w:rsidP="00046974">
      <w:pPr>
        <w:spacing w:after="0" w:line="240" w:lineRule="auto"/>
        <w:ind w:firstLine="708"/>
        <w:jc w:val="both"/>
        <w:rPr>
          <w:b/>
          <w:caps/>
        </w:rPr>
      </w:pPr>
      <w:r w:rsidRPr="00046974">
        <w:rPr>
          <w:rFonts w:cs="Arial"/>
        </w:rPr>
        <w:t>Informace o vývoji nezaměstna</w:t>
      </w:r>
      <w:r w:rsidRPr="003A52A5">
        <w:rPr>
          <w:rFonts w:cs="Arial"/>
        </w:rPr>
        <w:t xml:space="preserve">nosti v ČR v elektronické formě jsou zveřejněny na internetové adrese </w:t>
      </w:r>
      <w:hyperlink r:id="rId12" w:history="1">
        <w:r w:rsidRPr="003A52A5">
          <w:rPr>
            <w:rStyle w:val="Hypertextovodkaz"/>
            <w:rFonts w:cs="Arial"/>
            <w:b/>
            <w:color w:val="auto"/>
          </w:rPr>
          <w:t>http://portal.mpsv.cz/sz/stat</w:t>
        </w:r>
      </w:hyperlink>
      <w:r w:rsidRPr="003A52A5">
        <w:rPr>
          <w:rFonts w:cs="Arial"/>
        </w:rPr>
        <w:t xml:space="preserve">. Jednotlivé tiskové zprávy vydávané tiskovou mluvčí Úřadu práce ČR Mgr. Kateřinou Beránkovou jsou zveřejňovány na portálu MPSV na adrese </w:t>
      </w:r>
      <w:hyperlink r:id="rId13" w:history="1">
        <w:r w:rsidRPr="003A52A5">
          <w:rPr>
            <w:rStyle w:val="Hypertextovodkaz"/>
            <w:rFonts w:cs="Arial"/>
            <w:b/>
            <w:color w:val="auto"/>
          </w:rPr>
          <w:t>http://portal.mpsv.cz/upcr</w:t>
        </w:r>
      </w:hyperlink>
      <w:r w:rsidRPr="003A52A5">
        <w:rPr>
          <w:rFonts w:cs="Arial"/>
        </w:rPr>
        <w:t>,</w:t>
      </w:r>
      <w:r w:rsidRPr="003A52A5">
        <w:rPr>
          <w:rFonts w:cs="Arial"/>
        </w:rPr>
        <w:br/>
        <w:t>kde jsou k nalezení i další aktuální informace týkající se nezaměstnanosti, generálního ředitelství</w:t>
      </w:r>
      <w:r w:rsidRPr="003A52A5">
        <w:rPr>
          <w:rFonts w:cs="Arial"/>
        </w:rPr>
        <w:br/>
        <w:t>i jednotlivých krajských poboček.</w:t>
      </w:r>
    </w:p>
    <w:p w:rsidR="00AB2108" w:rsidRPr="00671284" w:rsidRDefault="00046974" w:rsidP="00046974">
      <w:pPr>
        <w:pStyle w:val="Nadpis1"/>
        <w:rPr>
          <w:b/>
          <w:caps/>
        </w:rPr>
      </w:pPr>
      <w:bookmarkStart w:id="1" w:name="_Toc393271591"/>
      <w:r>
        <w:rPr>
          <w:b/>
          <w:caps/>
          <w:szCs w:val="22"/>
        </w:rPr>
        <w:lastRenderedPageBreak/>
        <w:t>2</w:t>
      </w:r>
      <w:r w:rsidRPr="003A52A5">
        <w:rPr>
          <w:b/>
          <w:caps/>
          <w:szCs w:val="22"/>
        </w:rPr>
        <w:t xml:space="preserve">. </w:t>
      </w:r>
      <w:r>
        <w:rPr>
          <w:b/>
          <w:caps/>
          <w:szCs w:val="22"/>
        </w:rPr>
        <w:t>charakteristika</w:t>
      </w:r>
      <w:r w:rsidR="00C44B51" w:rsidRPr="00671284">
        <w:rPr>
          <w:b/>
          <w:caps/>
        </w:rPr>
        <w:t xml:space="preserve"> vývoje nezaměstnanosti a volných pracovních míst v Ústeckém kraji</w:t>
      </w:r>
      <w:bookmarkEnd w:id="1"/>
    </w:p>
    <w:p w:rsidR="00A865D3" w:rsidRPr="00671284" w:rsidRDefault="00A865D3" w:rsidP="00390044">
      <w:pPr>
        <w:spacing w:after="0" w:line="240" w:lineRule="auto"/>
        <w:jc w:val="both"/>
        <w:rPr>
          <w:bCs/>
        </w:rPr>
      </w:pPr>
    </w:p>
    <w:p w:rsidR="00B26D18" w:rsidRPr="00326307" w:rsidRDefault="00390044" w:rsidP="00B26D18">
      <w:pPr>
        <w:spacing w:after="0" w:line="240" w:lineRule="auto"/>
        <w:jc w:val="center"/>
        <w:rPr>
          <w:bCs/>
        </w:rPr>
      </w:pPr>
      <w:r w:rsidRPr="00326307">
        <w:rPr>
          <w:noProof/>
          <w:lang w:eastAsia="cs-CZ"/>
        </w:rPr>
        <w:drawing>
          <wp:inline distT="0" distB="0" distL="0" distR="0" wp14:anchorId="2C269A20" wp14:editId="5FF38927">
            <wp:extent cx="5762625" cy="52863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636" w:rsidRPr="00326307" w:rsidRDefault="00F60636" w:rsidP="00F60636">
      <w:pPr>
        <w:autoSpaceDE w:val="0"/>
        <w:autoSpaceDN w:val="0"/>
        <w:adjustRightInd w:val="0"/>
        <w:spacing w:after="0" w:line="240" w:lineRule="auto"/>
      </w:pPr>
    </w:p>
    <w:p w:rsidR="00821D46" w:rsidRPr="00326307" w:rsidRDefault="00821D46" w:rsidP="00F60636">
      <w:pPr>
        <w:autoSpaceDE w:val="0"/>
        <w:autoSpaceDN w:val="0"/>
        <w:adjustRightInd w:val="0"/>
        <w:spacing w:after="0" w:line="240" w:lineRule="auto"/>
      </w:pPr>
    </w:p>
    <w:p w:rsidR="00161441" w:rsidRPr="00326307" w:rsidRDefault="00390044" w:rsidP="00F60636">
      <w:pPr>
        <w:autoSpaceDE w:val="0"/>
        <w:autoSpaceDN w:val="0"/>
        <w:adjustRightInd w:val="0"/>
        <w:spacing w:after="0" w:line="240" w:lineRule="auto"/>
        <w:jc w:val="center"/>
      </w:pPr>
      <w:r w:rsidRPr="00326307">
        <w:rPr>
          <w:noProof/>
          <w:lang w:eastAsia="cs-CZ"/>
        </w:rPr>
        <w:drawing>
          <wp:inline distT="0" distB="0" distL="0" distR="0" wp14:anchorId="1CE188FE" wp14:editId="13513A5D">
            <wp:extent cx="5986780" cy="2871470"/>
            <wp:effectExtent l="0" t="0" r="0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028" w:rsidRPr="00326307" w:rsidRDefault="007F515A" w:rsidP="00BB7028">
      <w:pPr>
        <w:autoSpaceDE w:val="0"/>
        <w:autoSpaceDN w:val="0"/>
        <w:adjustRightInd w:val="0"/>
        <w:spacing w:after="0" w:line="240" w:lineRule="auto"/>
        <w:jc w:val="center"/>
      </w:pPr>
      <w:r w:rsidRPr="00326307">
        <w:rPr>
          <w:noProof/>
          <w:lang w:eastAsia="cs-CZ"/>
        </w:rPr>
        <w:lastRenderedPageBreak/>
        <w:drawing>
          <wp:inline distT="0" distB="0" distL="0" distR="0" wp14:anchorId="2E38BD34" wp14:editId="51BF4F4D">
            <wp:extent cx="5986780" cy="286512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636" w:rsidRPr="00326307" w:rsidRDefault="00BB7028" w:rsidP="00F60636">
      <w:pPr>
        <w:spacing w:after="0" w:line="240" w:lineRule="auto"/>
        <w:jc w:val="both"/>
      </w:pPr>
      <w:r w:rsidRPr="00326307">
        <w:tab/>
      </w:r>
    </w:p>
    <w:p w:rsidR="00B070A5" w:rsidRPr="00326307" w:rsidRDefault="007F515A" w:rsidP="00B070A5">
      <w:pPr>
        <w:spacing w:after="0" w:line="240" w:lineRule="auto"/>
        <w:jc w:val="center"/>
      </w:pPr>
      <w:r w:rsidRPr="00326307">
        <w:rPr>
          <w:noProof/>
          <w:lang w:eastAsia="cs-CZ"/>
        </w:rPr>
        <w:drawing>
          <wp:inline distT="0" distB="0" distL="0" distR="0" wp14:anchorId="33522DE4" wp14:editId="72B75366">
            <wp:extent cx="5986780" cy="285940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0A5" w:rsidRPr="00326307" w:rsidRDefault="00B070A5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</w:p>
    <w:p w:rsidR="00F60636" w:rsidRPr="00326307" w:rsidRDefault="00446CB7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326307">
        <w:rPr>
          <w:rFonts w:eastAsia="Times New Roman" w:cs="Times New Roman"/>
          <w:lang w:eastAsia="cs-CZ"/>
        </w:rPr>
        <w:t>Tabulka č. 1 - Vývoj nezaměstnanosti v Ústeckém kraji</w:t>
      </w:r>
    </w:p>
    <w:tbl>
      <w:tblPr>
        <w:tblW w:w="0" w:type="auto"/>
        <w:jc w:val="center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1276"/>
        <w:gridCol w:w="1276"/>
        <w:gridCol w:w="1275"/>
      </w:tblGrid>
      <w:tr w:rsidR="00326307" w:rsidRPr="00326307" w:rsidTr="00446CB7">
        <w:trPr>
          <w:cantSplit/>
          <w:trHeight w:val="60"/>
          <w:jc w:val="center"/>
        </w:trPr>
        <w:tc>
          <w:tcPr>
            <w:tcW w:w="5245" w:type="dxa"/>
            <w:gridSpan w:val="2"/>
            <w:vMerge w:val="restart"/>
            <w:shd w:val="clear" w:color="auto" w:fill="CCECFF"/>
            <w:vAlign w:val="center"/>
          </w:tcPr>
          <w:p w:rsidR="00F60636" w:rsidRPr="00326307" w:rsidRDefault="00F60636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827" w:type="dxa"/>
            <w:gridSpan w:val="3"/>
            <w:shd w:val="clear" w:color="auto" w:fill="CCECFF"/>
            <w:vAlign w:val="center"/>
          </w:tcPr>
          <w:p w:rsidR="00F60636" w:rsidRPr="00326307" w:rsidRDefault="00446CB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326307" w:rsidRPr="00326307" w:rsidTr="00446CB7">
        <w:trPr>
          <w:cantSplit/>
          <w:trHeight w:val="200"/>
          <w:jc w:val="center"/>
        </w:trPr>
        <w:tc>
          <w:tcPr>
            <w:tcW w:w="5245" w:type="dxa"/>
            <w:gridSpan w:val="2"/>
            <w:vMerge/>
            <w:shd w:val="clear" w:color="auto" w:fill="CCECFF"/>
          </w:tcPr>
          <w:p w:rsidR="004234D2" w:rsidRPr="00326307" w:rsidRDefault="004234D2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CCECFF"/>
            <w:vAlign w:val="bottom"/>
          </w:tcPr>
          <w:p w:rsidR="004234D2" w:rsidRPr="00326307" w:rsidRDefault="008A7A33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30. 6. 2013</w:t>
            </w:r>
          </w:p>
        </w:tc>
        <w:tc>
          <w:tcPr>
            <w:tcW w:w="1276" w:type="dxa"/>
            <w:shd w:val="clear" w:color="auto" w:fill="CCECFF"/>
            <w:vAlign w:val="bottom"/>
          </w:tcPr>
          <w:p w:rsidR="004234D2" w:rsidRPr="00326307" w:rsidRDefault="008A7A33" w:rsidP="00423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31. 5. 2014</w:t>
            </w:r>
          </w:p>
        </w:tc>
        <w:tc>
          <w:tcPr>
            <w:tcW w:w="1275" w:type="dxa"/>
            <w:shd w:val="clear" w:color="auto" w:fill="CCECFF"/>
            <w:vAlign w:val="bottom"/>
          </w:tcPr>
          <w:p w:rsidR="004234D2" w:rsidRPr="00326307" w:rsidRDefault="008A7A33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30. 6</w:t>
            </w:r>
            <w:r w:rsidR="004234D2"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. 2014</w:t>
            </w:r>
          </w:p>
        </w:tc>
      </w:tr>
      <w:tr w:rsidR="00326307" w:rsidRPr="00326307" w:rsidTr="001B05B2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8A7A33" w:rsidRPr="00326307" w:rsidRDefault="008A7A3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evidovaní uchazeči o zaměstnání </w:t>
            </w:r>
          </w:p>
        </w:tc>
        <w:tc>
          <w:tcPr>
            <w:tcW w:w="1276" w:type="dxa"/>
            <w:vAlign w:val="center"/>
          </w:tcPr>
          <w:p w:rsidR="008A7A33" w:rsidRPr="00326307" w:rsidRDefault="00326307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63 038</w:t>
            </w:r>
          </w:p>
        </w:tc>
        <w:tc>
          <w:tcPr>
            <w:tcW w:w="1276" w:type="dxa"/>
            <w:vAlign w:val="center"/>
          </w:tcPr>
          <w:p w:rsidR="008A7A33" w:rsidRPr="00326307" w:rsidRDefault="008A7A33" w:rsidP="00102A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62 960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7A33" w:rsidRPr="00326307" w:rsidRDefault="008A7A33" w:rsidP="0055125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61 845</w:t>
            </w:r>
          </w:p>
        </w:tc>
      </w:tr>
      <w:tr w:rsidR="00326307" w:rsidRPr="00326307" w:rsidTr="001B05B2">
        <w:trPr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8A7A33" w:rsidRPr="00326307" w:rsidRDefault="008A7A3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</w:t>
            </w:r>
          </w:p>
        </w:tc>
        <w:tc>
          <w:tcPr>
            <w:tcW w:w="4252" w:type="dxa"/>
            <w:shd w:val="clear" w:color="auto" w:fill="CCECFF"/>
            <w:vAlign w:val="bottom"/>
          </w:tcPr>
          <w:p w:rsidR="008A7A33" w:rsidRPr="00326307" w:rsidRDefault="008A7A3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ženy</w:t>
            </w:r>
          </w:p>
        </w:tc>
        <w:tc>
          <w:tcPr>
            <w:tcW w:w="1276" w:type="dxa"/>
            <w:vAlign w:val="center"/>
          </w:tcPr>
          <w:p w:rsidR="008A7A33" w:rsidRPr="00326307" w:rsidRDefault="00326307" w:rsidP="00102A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31 261</w:t>
            </w:r>
          </w:p>
        </w:tc>
        <w:tc>
          <w:tcPr>
            <w:tcW w:w="1276" w:type="dxa"/>
            <w:vAlign w:val="center"/>
          </w:tcPr>
          <w:p w:rsidR="008A7A33" w:rsidRPr="00326307" w:rsidRDefault="008A7A33" w:rsidP="00102A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31 368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7A33" w:rsidRPr="00326307" w:rsidRDefault="008A7A33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31 116</w:t>
            </w:r>
          </w:p>
        </w:tc>
      </w:tr>
      <w:tr w:rsidR="00326307" w:rsidRPr="00326307" w:rsidTr="001B05B2">
        <w:trPr>
          <w:cantSplit/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8A7A33" w:rsidRPr="00326307" w:rsidRDefault="008A7A3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shd w:val="clear" w:color="auto" w:fill="CCECFF"/>
            <w:vAlign w:val="bottom"/>
          </w:tcPr>
          <w:p w:rsidR="008A7A33" w:rsidRPr="00326307" w:rsidRDefault="008A7A3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absolventi a mladiství</w:t>
            </w:r>
          </w:p>
        </w:tc>
        <w:tc>
          <w:tcPr>
            <w:tcW w:w="1276" w:type="dxa"/>
            <w:vAlign w:val="center"/>
          </w:tcPr>
          <w:p w:rsidR="008A7A33" w:rsidRPr="00326307" w:rsidRDefault="00326307" w:rsidP="00102A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2 908</w:t>
            </w:r>
          </w:p>
        </w:tc>
        <w:tc>
          <w:tcPr>
            <w:tcW w:w="1276" w:type="dxa"/>
            <w:vAlign w:val="center"/>
          </w:tcPr>
          <w:p w:rsidR="008A7A33" w:rsidRPr="00326307" w:rsidRDefault="008A7A33" w:rsidP="00102A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7A33" w:rsidRPr="00326307" w:rsidRDefault="008A7A33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2 263</w:t>
            </w:r>
          </w:p>
        </w:tc>
      </w:tr>
      <w:tr w:rsidR="00326307" w:rsidRPr="00326307" w:rsidTr="001B05B2">
        <w:trPr>
          <w:cantSplit/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8A7A33" w:rsidRPr="00326307" w:rsidRDefault="008A7A3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shd w:val="clear" w:color="auto" w:fill="CCECFF"/>
            <w:vAlign w:val="bottom"/>
          </w:tcPr>
          <w:p w:rsidR="008A7A33" w:rsidRPr="00326307" w:rsidRDefault="008A7A3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uchazeči se zdravotním postižením</w:t>
            </w:r>
          </w:p>
        </w:tc>
        <w:tc>
          <w:tcPr>
            <w:tcW w:w="1276" w:type="dxa"/>
            <w:vAlign w:val="center"/>
          </w:tcPr>
          <w:p w:rsidR="008A7A33" w:rsidRPr="00326307" w:rsidRDefault="00326307" w:rsidP="00102A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7 023</w:t>
            </w:r>
          </w:p>
        </w:tc>
        <w:tc>
          <w:tcPr>
            <w:tcW w:w="1276" w:type="dxa"/>
            <w:vAlign w:val="center"/>
          </w:tcPr>
          <w:p w:rsidR="008A7A33" w:rsidRPr="00326307" w:rsidRDefault="008A7A33" w:rsidP="00102A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7 181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7A33" w:rsidRPr="00326307" w:rsidRDefault="008A7A33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7 160</w:t>
            </w:r>
          </w:p>
        </w:tc>
      </w:tr>
      <w:tr w:rsidR="00326307" w:rsidRPr="00326307" w:rsidTr="001B05B2">
        <w:trPr>
          <w:trHeight w:val="9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8A7A33" w:rsidRPr="00326307" w:rsidRDefault="008A7A3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uchazeči s nárokem na </w:t>
            </w:r>
            <w:proofErr w:type="spellStart"/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A7A33" w:rsidRPr="00326307" w:rsidRDefault="00326307" w:rsidP="0055125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10 358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A33" w:rsidRPr="00326307" w:rsidRDefault="008A7A33" w:rsidP="00102A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9 579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7A33" w:rsidRPr="00326307" w:rsidRDefault="008A7A33" w:rsidP="0055125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8 934</w:t>
            </w:r>
          </w:p>
        </w:tc>
      </w:tr>
      <w:tr w:rsidR="00326307" w:rsidRPr="00326307" w:rsidTr="001B05B2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8A7A33" w:rsidRPr="00326307" w:rsidRDefault="008A7A3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podíl nezaměstnaných osob (v 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A33" w:rsidRPr="00326307" w:rsidRDefault="00326307" w:rsidP="0055125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A33" w:rsidRPr="00326307" w:rsidRDefault="008A7A33" w:rsidP="00102A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11,00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7A33" w:rsidRPr="00326307" w:rsidRDefault="008A7A33" w:rsidP="0055125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10,82</w:t>
            </w:r>
          </w:p>
        </w:tc>
      </w:tr>
      <w:tr w:rsidR="00326307" w:rsidRPr="00326307" w:rsidTr="001B05B2">
        <w:trPr>
          <w:trHeight w:val="112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8A7A33" w:rsidRPr="00326307" w:rsidRDefault="008A7A3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1276" w:type="dxa"/>
            <w:vAlign w:val="center"/>
          </w:tcPr>
          <w:p w:rsidR="008A7A33" w:rsidRPr="00326307" w:rsidRDefault="00326307" w:rsidP="0055125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2 994</w:t>
            </w:r>
          </w:p>
        </w:tc>
        <w:tc>
          <w:tcPr>
            <w:tcW w:w="1276" w:type="dxa"/>
            <w:vAlign w:val="center"/>
          </w:tcPr>
          <w:p w:rsidR="008A7A33" w:rsidRPr="00326307" w:rsidRDefault="008A7A33" w:rsidP="00102A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3 180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7A33" w:rsidRPr="00326307" w:rsidRDefault="008A7A33" w:rsidP="0055125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3 315</w:t>
            </w:r>
          </w:p>
        </w:tc>
      </w:tr>
      <w:tr w:rsidR="00326307" w:rsidRPr="00326307" w:rsidTr="001B05B2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8A7A33" w:rsidRPr="00326307" w:rsidRDefault="008A7A3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počet uchazečů na 1 volné pracovní místo</w:t>
            </w:r>
          </w:p>
        </w:tc>
        <w:tc>
          <w:tcPr>
            <w:tcW w:w="1276" w:type="dxa"/>
            <w:vAlign w:val="center"/>
          </w:tcPr>
          <w:p w:rsidR="008A7A33" w:rsidRPr="00326307" w:rsidRDefault="00326307" w:rsidP="0055125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21,05</w:t>
            </w:r>
          </w:p>
        </w:tc>
        <w:tc>
          <w:tcPr>
            <w:tcW w:w="1276" w:type="dxa"/>
            <w:vAlign w:val="center"/>
          </w:tcPr>
          <w:p w:rsidR="008A7A33" w:rsidRPr="00326307" w:rsidRDefault="008A7A33" w:rsidP="00102A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19,80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7A33" w:rsidRPr="00326307" w:rsidRDefault="008A7A33" w:rsidP="0055125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18,66</w:t>
            </w:r>
          </w:p>
        </w:tc>
      </w:tr>
    </w:tbl>
    <w:p w:rsidR="00446CB7" w:rsidRPr="00326307" w:rsidRDefault="00161441" w:rsidP="00446CB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cs-CZ"/>
        </w:rPr>
      </w:pPr>
      <w:r w:rsidRPr="00326307">
        <w:rPr>
          <w:rFonts w:eastAsia="Times New Roman" w:cs="Times New Roman"/>
          <w:lang w:eastAsia="cs-CZ"/>
        </w:rPr>
        <w:tab/>
      </w:r>
    </w:p>
    <w:p w:rsidR="00446CB7" w:rsidRPr="00326307" w:rsidRDefault="00446CB7" w:rsidP="005A4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noProof/>
          <w:lang w:eastAsia="cs-CZ"/>
        </w:rPr>
      </w:pPr>
      <w:r w:rsidRPr="00326307">
        <w:rPr>
          <w:rFonts w:eastAsia="Times New Roman" w:cs="Times New Roman"/>
          <w:noProof/>
          <w:lang w:eastAsia="cs-CZ"/>
        </w:rPr>
        <w:t>Tabulka č. 2 - Tok nezaměstnanosti v Ústeckém kraji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6"/>
        <w:gridCol w:w="1275"/>
        <w:gridCol w:w="1276"/>
        <w:gridCol w:w="1275"/>
      </w:tblGrid>
      <w:tr w:rsidR="00326307" w:rsidRPr="00326307" w:rsidTr="00446CB7">
        <w:trPr>
          <w:cantSplit/>
          <w:trHeight w:val="69"/>
          <w:jc w:val="center"/>
        </w:trPr>
        <w:tc>
          <w:tcPr>
            <w:tcW w:w="5246" w:type="dxa"/>
            <w:vMerge w:val="restart"/>
            <w:shd w:val="clear" w:color="auto" w:fill="CCECFF"/>
            <w:vAlign w:val="center"/>
          </w:tcPr>
          <w:p w:rsidR="00446CB7" w:rsidRPr="00326307" w:rsidRDefault="00446CB7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826" w:type="dxa"/>
            <w:gridSpan w:val="3"/>
            <w:shd w:val="clear" w:color="auto" w:fill="CCECFF"/>
            <w:vAlign w:val="center"/>
          </w:tcPr>
          <w:p w:rsidR="00446CB7" w:rsidRPr="00326307" w:rsidRDefault="00446CB7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326307" w:rsidRPr="00326307" w:rsidTr="00446CB7">
        <w:trPr>
          <w:cantSplit/>
          <w:trHeight w:val="100"/>
          <w:jc w:val="center"/>
        </w:trPr>
        <w:tc>
          <w:tcPr>
            <w:tcW w:w="5246" w:type="dxa"/>
            <w:vMerge/>
            <w:shd w:val="clear" w:color="auto" w:fill="CCECFF"/>
            <w:vAlign w:val="center"/>
          </w:tcPr>
          <w:p w:rsidR="00F641C5" w:rsidRPr="00326307" w:rsidRDefault="00F641C5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CCECFF"/>
            <w:vAlign w:val="bottom"/>
          </w:tcPr>
          <w:p w:rsidR="00F641C5" w:rsidRPr="00326307" w:rsidRDefault="008A7A33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30. 6. 2013</w:t>
            </w:r>
          </w:p>
        </w:tc>
        <w:tc>
          <w:tcPr>
            <w:tcW w:w="1276" w:type="dxa"/>
            <w:shd w:val="clear" w:color="auto" w:fill="CCECFF"/>
            <w:vAlign w:val="bottom"/>
          </w:tcPr>
          <w:p w:rsidR="00F641C5" w:rsidRPr="00326307" w:rsidRDefault="008A7A33" w:rsidP="00551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31. 5. 2014</w:t>
            </w:r>
          </w:p>
        </w:tc>
        <w:tc>
          <w:tcPr>
            <w:tcW w:w="1275" w:type="dxa"/>
            <w:shd w:val="clear" w:color="auto" w:fill="CCECFF"/>
            <w:vAlign w:val="bottom"/>
          </w:tcPr>
          <w:p w:rsidR="00F641C5" w:rsidRPr="00326307" w:rsidRDefault="008A7A33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30. 6</w:t>
            </w:r>
            <w:r w:rsidR="00F641C5"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. 2014</w:t>
            </w:r>
          </w:p>
        </w:tc>
      </w:tr>
      <w:tr w:rsidR="00326307" w:rsidRPr="00326307" w:rsidTr="001B05B2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8A7A33" w:rsidRPr="00326307" w:rsidRDefault="008A7A33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nově evidovaní uchazeči o zaměstnání</w:t>
            </w:r>
          </w:p>
        </w:tc>
        <w:tc>
          <w:tcPr>
            <w:tcW w:w="1275" w:type="dxa"/>
            <w:vAlign w:val="center"/>
          </w:tcPr>
          <w:p w:rsidR="008A7A33" w:rsidRPr="00326307" w:rsidRDefault="00326307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3 906</w:t>
            </w:r>
          </w:p>
        </w:tc>
        <w:tc>
          <w:tcPr>
            <w:tcW w:w="1276" w:type="dxa"/>
            <w:vAlign w:val="center"/>
          </w:tcPr>
          <w:p w:rsidR="008A7A33" w:rsidRPr="00326307" w:rsidRDefault="008A7A33" w:rsidP="00102A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4 190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7A33" w:rsidRPr="00326307" w:rsidRDefault="008A7A33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4 316</w:t>
            </w:r>
          </w:p>
        </w:tc>
      </w:tr>
      <w:tr w:rsidR="00326307" w:rsidRPr="00326307" w:rsidTr="001B05B2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8A7A33" w:rsidRPr="00326307" w:rsidRDefault="008A7A33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uchazeči s ukončenou evidencí a vyřazení uchazeči</w:t>
            </w:r>
          </w:p>
        </w:tc>
        <w:tc>
          <w:tcPr>
            <w:tcW w:w="1275" w:type="dxa"/>
            <w:vAlign w:val="center"/>
          </w:tcPr>
          <w:p w:rsidR="008A7A33" w:rsidRPr="00326307" w:rsidRDefault="00326307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4 647</w:t>
            </w:r>
          </w:p>
        </w:tc>
        <w:tc>
          <w:tcPr>
            <w:tcW w:w="1276" w:type="dxa"/>
            <w:vAlign w:val="center"/>
          </w:tcPr>
          <w:p w:rsidR="008A7A33" w:rsidRPr="00326307" w:rsidRDefault="008A7A33" w:rsidP="00102A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6 050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7A33" w:rsidRPr="00326307" w:rsidRDefault="008A7A33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5 431</w:t>
            </w:r>
          </w:p>
        </w:tc>
      </w:tr>
      <w:tr w:rsidR="00326307" w:rsidRPr="00326307" w:rsidTr="001B05B2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8A7A33" w:rsidRPr="00326307" w:rsidRDefault="008A7A33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 toho umístění celkem</w:t>
            </w:r>
          </w:p>
        </w:tc>
        <w:tc>
          <w:tcPr>
            <w:tcW w:w="1275" w:type="dxa"/>
            <w:vAlign w:val="center"/>
          </w:tcPr>
          <w:p w:rsidR="008A7A33" w:rsidRPr="00326307" w:rsidRDefault="00326307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2 540</w:t>
            </w:r>
          </w:p>
        </w:tc>
        <w:tc>
          <w:tcPr>
            <w:tcW w:w="1276" w:type="dxa"/>
            <w:vAlign w:val="center"/>
          </w:tcPr>
          <w:p w:rsidR="008A7A33" w:rsidRPr="00326307" w:rsidRDefault="008A7A33" w:rsidP="00102A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4 160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7A33" w:rsidRPr="00326307" w:rsidRDefault="00326307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3 511</w:t>
            </w:r>
          </w:p>
        </w:tc>
      </w:tr>
      <w:tr w:rsidR="00326307" w:rsidRPr="00326307" w:rsidTr="001B05B2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8A7A33" w:rsidRPr="00326307" w:rsidRDefault="008A7A33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 umístění úřadem práce</w:t>
            </w:r>
          </w:p>
        </w:tc>
        <w:tc>
          <w:tcPr>
            <w:tcW w:w="1275" w:type="dxa"/>
            <w:vAlign w:val="center"/>
          </w:tcPr>
          <w:p w:rsidR="008A7A33" w:rsidRPr="00326307" w:rsidRDefault="00326307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696</w:t>
            </w:r>
          </w:p>
        </w:tc>
        <w:tc>
          <w:tcPr>
            <w:tcW w:w="1276" w:type="dxa"/>
            <w:vAlign w:val="center"/>
          </w:tcPr>
          <w:p w:rsidR="008A7A33" w:rsidRPr="00326307" w:rsidRDefault="008A7A33" w:rsidP="00102A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1 176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7A33" w:rsidRPr="00326307" w:rsidRDefault="00326307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881</w:t>
            </w:r>
          </w:p>
        </w:tc>
      </w:tr>
    </w:tbl>
    <w:p w:rsidR="00446CB7" w:rsidRPr="00326307" w:rsidRDefault="00446CB7" w:rsidP="00446CB7">
      <w:pPr>
        <w:spacing w:after="0" w:line="240" w:lineRule="auto"/>
        <w:jc w:val="both"/>
        <w:rPr>
          <w:bCs/>
        </w:rPr>
      </w:pPr>
      <w:r w:rsidRPr="00326307">
        <w:rPr>
          <w:bCs/>
        </w:rPr>
        <w:lastRenderedPageBreak/>
        <w:t>Tabulka č. 3 - Vývoj nezaměstnanosti v jednotlivých okresech Ústeckého kraje</w:t>
      </w:r>
    </w:p>
    <w:tbl>
      <w:tblPr>
        <w:tblW w:w="95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820"/>
        <w:gridCol w:w="820"/>
        <w:gridCol w:w="820"/>
        <w:gridCol w:w="847"/>
        <w:gridCol w:w="847"/>
        <w:gridCol w:w="820"/>
        <w:gridCol w:w="820"/>
        <w:gridCol w:w="827"/>
        <w:gridCol w:w="851"/>
        <w:gridCol w:w="850"/>
      </w:tblGrid>
      <w:tr w:rsidR="00326307" w:rsidRPr="00326307" w:rsidTr="005B467E">
        <w:trPr>
          <w:trHeight w:hRule="exact" w:val="284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F5955" w:rsidRPr="00326307" w:rsidRDefault="006F5955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6F5955" w:rsidRPr="00326307" w:rsidRDefault="006F5955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o zaměstnání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110DC3" w:rsidRPr="00326307" w:rsidRDefault="006F5955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2630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</w:t>
            </w:r>
            <w:r w:rsidR="00110DC3" w:rsidRPr="0032630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oZ</w:t>
            </w:r>
            <w:proofErr w:type="spellEnd"/>
          </w:p>
          <w:p w:rsidR="00110DC3" w:rsidRPr="00326307" w:rsidRDefault="00110DC3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s </w:t>
            </w:r>
            <w:proofErr w:type="spellStart"/>
            <w:r w:rsidRPr="0032630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nár</w:t>
            </w:r>
            <w:proofErr w:type="spellEnd"/>
            <w:r w:rsidRPr="0032630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. </w:t>
            </w:r>
          </w:p>
          <w:p w:rsidR="00110DC3" w:rsidRPr="00326307" w:rsidRDefault="00110DC3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="006F5955" w:rsidRPr="0032630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PvN</w:t>
            </w:r>
            <w:proofErr w:type="spellEnd"/>
          </w:p>
          <w:p w:rsidR="006F5955" w:rsidRPr="00326307" w:rsidRDefault="006F5955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32630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</w:tr>
      <w:tr w:rsidR="00326307" w:rsidRPr="00326307" w:rsidTr="005B467E">
        <w:trPr>
          <w:trHeight w:hRule="exact" w:val="284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nově hlášení</w:t>
            </w:r>
          </w:p>
        </w:tc>
        <w:tc>
          <w:tcPr>
            <w:tcW w:w="4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vyřazení a s ukončenou evidencí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326307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ženy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26307" w:rsidRPr="00326307" w:rsidTr="005B467E">
        <w:trPr>
          <w:trHeight w:hRule="exact" w:val="284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z toho</w:t>
            </w: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26307" w:rsidRPr="00326307" w:rsidTr="005B467E">
        <w:trPr>
          <w:trHeight w:val="708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umístění celkem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z toho ÚP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sankčně vyřazení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26307" w:rsidRPr="00326307" w:rsidTr="008A7A33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9 483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605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878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618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89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171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9 210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4 515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1 423</w:t>
            </w:r>
          </w:p>
        </w:tc>
      </w:tr>
      <w:tr w:rsidR="00326307" w:rsidRPr="00326307" w:rsidTr="008A7A33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10 089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658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829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516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149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164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9 918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5 131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1 335</w:t>
            </w:r>
          </w:p>
        </w:tc>
      </w:tr>
      <w:tr w:rsidR="00326307" w:rsidRPr="00326307" w:rsidTr="008A7A33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7 481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562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709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453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89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68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188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7 334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3 731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1 364</w:t>
            </w:r>
          </w:p>
        </w:tc>
      </w:tr>
      <w:tr w:rsidR="00326307" w:rsidRPr="00326307" w:rsidTr="008A7A33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6 422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508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649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480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102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6 281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3 124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1 093</w:t>
            </w:r>
          </w:p>
        </w:tc>
      </w:tr>
      <w:tr w:rsidR="00326307" w:rsidRPr="00326307" w:rsidTr="008A7A33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10 474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699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843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503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162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196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144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10 330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5 472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1 322</w:t>
            </w:r>
          </w:p>
        </w:tc>
      </w:tr>
      <w:tr w:rsidR="00326307" w:rsidRPr="00326307" w:rsidTr="008A7A33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8 769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685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862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488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181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193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8 592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4 385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1 232</w:t>
            </w:r>
          </w:p>
        </w:tc>
      </w:tr>
      <w:tr w:rsidR="00326307" w:rsidRPr="00326307" w:rsidTr="008A7A33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10 242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599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661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453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79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74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134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10 180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4 758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1 165</w:t>
            </w:r>
          </w:p>
        </w:tc>
      </w:tr>
      <w:tr w:rsidR="00326307" w:rsidRPr="00326307" w:rsidTr="008A7A33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326307">
              <w:rPr>
                <w:rFonts w:cs="Arial Narrow"/>
                <w:b/>
                <w:sz w:val="20"/>
                <w:szCs w:val="20"/>
              </w:rPr>
              <w:t>62 960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326307">
              <w:rPr>
                <w:rFonts w:cs="Arial Narrow"/>
                <w:b/>
                <w:sz w:val="20"/>
                <w:szCs w:val="20"/>
              </w:rPr>
              <w:t>4 316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326307">
              <w:rPr>
                <w:rFonts w:cs="Arial Narrow"/>
                <w:b/>
                <w:sz w:val="20"/>
                <w:szCs w:val="20"/>
              </w:rPr>
              <w:t>5 431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326307">
              <w:rPr>
                <w:rFonts w:cs="Arial Narrow"/>
                <w:b/>
                <w:sz w:val="20"/>
                <w:szCs w:val="20"/>
              </w:rPr>
              <w:t>3 511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326307">
              <w:rPr>
                <w:rFonts w:cs="Arial Narrow"/>
                <w:b/>
                <w:sz w:val="20"/>
                <w:szCs w:val="20"/>
              </w:rPr>
              <w:t>881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326307">
              <w:rPr>
                <w:rFonts w:cs="Arial Narrow"/>
                <w:b/>
                <w:sz w:val="20"/>
                <w:szCs w:val="20"/>
              </w:rPr>
              <w:t>824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326307">
              <w:rPr>
                <w:rFonts w:cs="Arial Narrow"/>
                <w:b/>
                <w:sz w:val="20"/>
                <w:szCs w:val="20"/>
              </w:rPr>
              <w:t>1 096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bCs/>
                <w:sz w:val="20"/>
                <w:szCs w:val="20"/>
              </w:rPr>
            </w:pPr>
            <w:r w:rsidRPr="00326307">
              <w:rPr>
                <w:rFonts w:cs="Arial Narrow"/>
                <w:b/>
                <w:bCs/>
                <w:sz w:val="20"/>
                <w:szCs w:val="20"/>
              </w:rPr>
              <w:t>61 845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bCs/>
                <w:sz w:val="20"/>
                <w:szCs w:val="20"/>
              </w:rPr>
            </w:pPr>
            <w:r w:rsidRPr="00326307">
              <w:rPr>
                <w:rFonts w:cs="Arial Narrow"/>
                <w:b/>
                <w:bCs/>
                <w:sz w:val="20"/>
                <w:szCs w:val="20"/>
              </w:rPr>
              <w:t>31 116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bCs/>
                <w:sz w:val="20"/>
                <w:szCs w:val="20"/>
              </w:rPr>
            </w:pPr>
            <w:r w:rsidRPr="00326307">
              <w:rPr>
                <w:rFonts w:cs="Arial Narrow"/>
                <w:b/>
                <w:bCs/>
                <w:sz w:val="20"/>
                <w:szCs w:val="20"/>
              </w:rPr>
              <w:t>8 934</w:t>
            </w:r>
          </w:p>
        </w:tc>
      </w:tr>
    </w:tbl>
    <w:p w:rsidR="00E879AD" w:rsidRPr="00326307" w:rsidRDefault="00E879AD" w:rsidP="00436020">
      <w:pPr>
        <w:spacing w:after="0" w:line="240" w:lineRule="auto"/>
        <w:jc w:val="both"/>
        <w:rPr>
          <w:b/>
          <w:bCs/>
        </w:rPr>
      </w:pPr>
    </w:p>
    <w:tbl>
      <w:tblPr>
        <w:tblW w:w="9217" w:type="dxa"/>
        <w:jc w:val="center"/>
        <w:tblInd w:w="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709"/>
        <w:gridCol w:w="708"/>
        <w:gridCol w:w="605"/>
        <w:gridCol w:w="625"/>
        <w:gridCol w:w="641"/>
        <w:gridCol w:w="721"/>
        <w:gridCol w:w="671"/>
        <w:gridCol w:w="708"/>
        <w:gridCol w:w="851"/>
        <w:gridCol w:w="850"/>
        <w:gridCol w:w="851"/>
      </w:tblGrid>
      <w:tr w:rsidR="00326307" w:rsidRPr="00326307" w:rsidTr="005071E0">
        <w:trPr>
          <w:trHeight w:val="558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2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2630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</w:p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VPM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Podíl nezaměstnaných na obyvatelstvu (v %)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15-64 let</w:t>
            </w:r>
          </w:p>
        </w:tc>
      </w:tr>
      <w:tr w:rsidR="00326307" w:rsidRPr="00326307" w:rsidTr="005071E0">
        <w:trPr>
          <w:trHeight w:hRule="exact" w:val="284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326307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z toho pro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</w:tr>
      <w:tr w:rsidR="00326307" w:rsidRPr="00326307" w:rsidTr="005071E0">
        <w:trPr>
          <w:trHeight w:val="625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abs</w:t>
            </w:r>
            <w:proofErr w:type="spellEnd"/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. a mlad</w:t>
            </w:r>
            <w:proofErr w:type="gramEnd"/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osoby se ZP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326307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26307" w:rsidRPr="00326307" w:rsidTr="008A7A33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379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427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91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65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26307">
              <w:rPr>
                <w:rFonts w:cs="Arial"/>
                <w:sz w:val="20"/>
                <w:szCs w:val="20"/>
              </w:rPr>
              <w:t>21,57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10,13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87 943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43 151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44 792</w:t>
            </w:r>
          </w:p>
        </w:tc>
      </w:tr>
      <w:tr w:rsidR="00326307" w:rsidRPr="00326307" w:rsidTr="008A7A33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371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89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26307">
              <w:rPr>
                <w:rFonts w:cs="Arial"/>
                <w:sz w:val="20"/>
                <w:szCs w:val="20"/>
              </w:rPr>
              <w:t>26,73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11,20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11,91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86 564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42 017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44 547</w:t>
            </w:r>
          </w:p>
        </w:tc>
      </w:tr>
      <w:tr w:rsidR="00326307" w:rsidRPr="00326307" w:rsidTr="008A7A33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262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305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26307">
              <w:rPr>
                <w:rFonts w:cs="Arial"/>
                <w:sz w:val="20"/>
                <w:szCs w:val="20"/>
              </w:rPr>
              <w:t>24,05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9,08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9,44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79 541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38 842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40 699</w:t>
            </w:r>
          </w:p>
        </w:tc>
      </w:tr>
      <w:tr w:rsidR="00326307" w:rsidRPr="00326307" w:rsidTr="008A7A33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486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152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71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26307">
              <w:rPr>
                <w:rFonts w:cs="Arial"/>
                <w:sz w:val="20"/>
                <w:szCs w:val="20"/>
              </w:rPr>
              <w:t>12,92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10,14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10,23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58 658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28 758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29 900</w:t>
            </w:r>
          </w:p>
        </w:tc>
      </w:tr>
      <w:tr w:rsidR="00326307" w:rsidRPr="00326307" w:rsidTr="008A7A33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659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797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255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106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26307">
              <w:rPr>
                <w:rFonts w:cs="Arial"/>
                <w:sz w:val="20"/>
                <w:szCs w:val="20"/>
              </w:rPr>
              <w:t>12,96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13,18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14,31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78 092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38 076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40 016</w:t>
            </w:r>
          </w:p>
        </w:tc>
      </w:tr>
      <w:tr w:rsidR="00326307" w:rsidRPr="00326307" w:rsidTr="008A7A33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678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643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26307">
              <w:rPr>
                <w:rFonts w:cs="Arial"/>
                <w:sz w:val="20"/>
                <w:szCs w:val="20"/>
              </w:rPr>
              <w:t>13,36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9,49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9,83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9,16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87 038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42 685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44 353</w:t>
            </w:r>
          </w:p>
        </w:tc>
      </w:tr>
      <w:tr w:rsidR="00326307" w:rsidRPr="00326307" w:rsidTr="008A7A33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354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286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64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26307">
              <w:rPr>
                <w:rFonts w:cs="Arial"/>
                <w:sz w:val="20"/>
                <w:szCs w:val="20"/>
              </w:rPr>
              <w:t>35,59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326307">
              <w:rPr>
                <w:rFonts w:cs="Arial Narrow"/>
                <w:bCs/>
                <w:sz w:val="20"/>
                <w:szCs w:val="20"/>
              </w:rPr>
              <w:t>12,57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11,76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13,37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79 822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39 706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326307">
              <w:rPr>
                <w:rFonts w:cs="Arial Narrow"/>
                <w:sz w:val="20"/>
                <w:szCs w:val="20"/>
              </w:rPr>
              <w:t>40 116</w:t>
            </w:r>
          </w:p>
        </w:tc>
      </w:tr>
      <w:tr w:rsidR="00326307" w:rsidRPr="00326307" w:rsidTr="008A7A33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16491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630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bCs/>
                <w:sz w:val="20"/>
                <w:szCs w:val="20"/>
              </w:rPr>
            </w:pPr>
            <w:r w:rsidRPr="00326307">
              <w:rPr>
                <w:rFonts w:cs="Arial Narrow"/>
                <w:b/>
                <w:bCs/>
                <w:sz w:val="20"/>
                <w:szCs w:val="20"/>
              </w:rPr>
              <w:t>3 180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bCs/>
                <w:sz w:val="20"/>
                <w:szCs w:val="20"/>
              </w:rPr>
            </w:pPr>
            <w:r w:rsidRPr="00326307">
              <w:rPr>
                <w:rFonts w:cs="Arial Narrow"/>
                <w:b/>
                <w:bCs/>
                <w:sz w:val="20"/>
                <w:szCs w:val="20"/>
              </w:rPr>
              <w:t>3 315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326307">
              <w:rPr>
                <w:rFonts w:cs="Arial Narrow"/>
                <w:b/>
                <w:sz w:val="20"/>
                <w:szCs w:val="20"/>
              </w:rPr>
              <w:t>839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326307">
              <w:rPr>
                <w:rFonts w:cs="Arial Narrow"/>
                <w:b/>
                <w:sz w:val="20"/>
                <w:szCs w:val="20"/>
              </w:rPr>
              <w:t>463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26307">
              <w:rPr>
                <w:rFonts w:cs="Arial"/>
                <w:b/>
                <w:sz w:val="20"/>
                <w:szCs w:val="20"/>
              </w:rPr>
              <w:t>18,66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bCs/>
                <w:sz w:val="20"/>
                <w:szCs w:val="20"/>
              </w:rPr>
            </w:pPr>
            <w:r w:rsidRPr="00326307">
              <w:rPr>
                <w:rFonts w:cs="Arial Narrow"/>
                <w:b/>
                <w:bCs/>
                <w:sz w:val="20"/>
                <w:szCs w:val="20"/>
              </w:rPr>
              <w:t>10,82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326307">
              <w:rPr>
                <w:rFonts w:cs="Arial Narrow"/>
                <w:b/>
                <w:sz w:val="20"/>
                <w:szCs w:val="20"/>
              </w:rPr>
              <w:t>11,08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326307">
              <w:rPr>
                <w:rFonts w:cs="Arial Narrow"/>
                <w:b/>
                <w:sz w:val="20"/>
                <w:szCs w:val="20"/>
              </w:rPr>
              <w:t>10,57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326307">
              <w:rPr>
                <w:rFonts w:cs="Arial Narrow"/>
                <w:b/>
                <w:sz w:val="20"/>
                <w:szCs w:val="20"/>
              </w:rPr>
              <w:t>557 658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326307">
              <w:rPr>
                <w:rFonts w:cs="Arial Narrow"/>
                <w:b/>
                <w:sz w:val="20"/>
                <w:szCs w:val="20"/>
              </w:rPr>
              <w:t>273 235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8A7A33" w:rsidRPr="00326307" w:rsidRDefault="008A7A33" w:rsidP="008A7A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326307">
              <w:rPr>
                <w:rFonts w:cs="Arial Narrow"/>
                <w:b/>
                <w:sz w:val="20"/>
                <w:szCs w:val="20"/>
              </w:rPr>
              <w:t>284 423</w:t>
            </w:r>
          </w:p>
        </w:tc>
      </w:tr>
    </w:tbl>
    <w:p w:rsidR="001E382A" w:rsidRPr="00326307" w:rsidRDefault="001E382A" w:rsidP="0016491C">
      <w:pPr>
        <w:spacing w:after="0" w:line="240" w:lineRule="auto"/>
        <w:rPr>
          <w:lang w:eastAsia="cs-CZ"/>
        </w:rPr>
      </w:pPr>
    </w:p>
    <w:p w:rsidR="00F052AB" w:rsidRPr="00326307" w:rsidRDefault="00D15E87" w:rsidP="0016491C">
      <w:pPr>
        <w:spacing w:after="0" w:line="240" w:lineRule="auto"/>
        <w:jc w:val="center"/>
        <w:rPr>
          <w:lang w:eastAsia="cs-CZ"/>
        </w:rPr>
      </w:pPr>
      <w:r w:rsidRPr="00326307">
        <w:rPr>
          <w:noProof/>
          <w:lang w:eastAsia="cs-CZ"/>
        </w:rPr>
        <w:drawing>
          <wp:inline distT="0" distB="0" distL="0" distR="0" wp14:anchorId="7E076C82" wp14:editId="7DDAAC30">
            <wp:extent cx="5974715" cy="2871470"/>
            <wp:effectExtent l="0" t="0" r="6985" b="508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91C" w:rsidRPr="00326307" w:rsidRDefault="0016491C" w:rsidP="0016491C">
      <w:pPr>
        <w:spacing w:after="0" w:line="240" w:lineRule="auto"/>
        <w:rPr>
          <w:lang w:eastAsia="cs-CZ"/>
        </w:rPr>
      </w:pPr>
    </w:p>
    <w:p w:rsidR="0016491C" w:rsidRPr="00326307" w:rsidRDefault="0016491C" w:rsidP="0016491C">
      <w:pPr>
        <w:spacing w:after="0" w:line="240" w:lineRule="auto"/>
        <w:rPr>
          <w:lang w:eastAsia="cs-CZ"/>
        </w:rPr>
      </w:pPr>
    </w:p>
    <w:p w:rsidR="0016491C" w:rsidRPr="00326307" w:rsidRDefault="0016491C" w:rsidP="0016491C">
      <w:pPr>
        <w:spacing w:after="0" w:line="240" w:lineRule="auto"/>
        <w:rPr>
          <w:lang w:eastAsia="cs-CZ"/>
        </w:rPr>
      </w:pPr>
    </w:p>
    <w:p w:rsidR="0016491C" w:rsidRPr="00326307" w:rsidRDefault="0016491C" w:rsidP="0016491C">
      <w:pPr>
        <w:spacing w:after="0" w:line="240" w:lineRule="auto"/>
        <w:rPr>
          <w:lang w:eastAsia="cs-CZ"/>
        </w:rPr>
      </w:pPr>
    </w:p>
    <w:p w:rsidR="0016491C" w:rsidRPr="00326307" w:rsidRDefault="0016491C" w:rsidP="0016491C">
      <w:pPr>
        <w:spacing w:after="0" w:line="240" w:lineRule="auto"/>
        <w:rPr>
          <w:lang w:eastAsia="cs-CZ"/>
        </w:rPr>
      </w:pPr>
    </w:p>
    <w:p w:rsidR="0016491C" w:rsidRPr="00326307" w:rsidRDefault="0016491C" w:rsidP="0016491C">
      <w:pPr>
        <w:spacing w:after="0" w:line="240" w:lineRule="auto"/>
        <w:rPr>
          <w:lang w:eastAsia="cs-CZ"/>
        </w:rPr>
      </w:pPr>
    </w:p>
    <w:p w:rsidR="00F052AB" w:rsidRPr="00326307" w:rsidRDefault="0021250F" w:rsidP="00972387">
      <w:pPr>
        <w:spacing w:after="0" w:line="240" w:lineRule="auto"/>
        <w:jc w:val="center"/>
        <w:rPr>
          <w:lang w:eastAsia="cs-CZ"/>
        </w:rPr>
      </w:pPr>
      <w:r w:rsidRPr="00326307">
        <w:rPr>
          <w:noProof/>
          <w:lang w:eastAsia="cs-CZ"/>
        </w:rPr>
        <w:lastRenderedPageBreak/>
        <w:drawing>
          <wp:inline distT="0" distB="0" distL="0" distR="0" wp14:anchorId="490C9C1B" wp14:editId="03CD9C97">
            <wp:extent cx="6120130" cy="9423684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2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F90" w:rsidRPr="00326307" w:rsidRDefault="006621D0" w:rsidP="0016491C">
      <w:pPr>
        <w:pStyle w:val="Nadpis1"/>
        <w:rPr>
          <w:b/>
          <w:szCs w:val="22"/>
        </w:rPr>
      </w:pPr>
      <w:bookmarkStart w:id="2" w:name="_Toc393271592"/>
      <w:r w:rsidRPr="00326307">
        <w:rPr>
          <w:b/>
          <w:szCs w:val="22"/>
        </w:rPr>
        <w:lastRenderedPageBreak/>
        <w:t>3</w:t>
      </w:r>
      <w:r w:rsidR="00F67BBB" w:rsidRPr="00326307">
        <w:rPr>
          <w:b/>
          <w:szCs w:val="22"/>
        </w:rPr>
        <w:t xml:space="preserve">. </w:t>
      </w:r>
      <w:r w:rsidR="00E4382D" w:rsidRPr="00326307">
        <w:rPr>
          <w:b/>
          <w:szCs w:val="22"/>
        </w:rPr>
        <w:t>MAPOVÁNÍ PREDIKCE TRENDŮ ZAMĚSTNANOSTI A POTŘEB ZAMĚSTNAVATELŮ V ÚSTECKÉM KRAJI</w:t>
      </w:r>
      <w:bookmarkEnd w:id="2"/>
    </w:p>
    <w:p w:rsidR="00442732" w:rsidRPr="00326307" w:rsidRDefault="00442732" w:rsidP="0016491C">
      <w:pPr>
        <w:spacing w:after="0" w:line="240" w:lineRule="auto"/>
        <w:rPr>
          <w:lang w:eastAsia="cs-CZ"/>
        </w:rPr>
      </w:pPr>
    </w:p>
    <w:p w:rsidR="00B272D4" w:rsidRPr="00326307" w:rsidRDefault="007C6BEF" w:rsidP="007F79EA">
      <w:pPr>
        <w:spacing w:after="0" w:line="240" w:lineRule="auto"/>
        <w:jc w:val="both"/>
        <w:rPr>
          <w:lang w:eastAsia="cs-CZ"/>
        </w:rPr>
      </w:pPr>
      <w:r w:rsidRPr="00326307">
        <w:rPr>
          <w:lang w:eastAsia="cs-CZ"/>
        </w:rPr>
        <w:tab/>
        <w:t>V krátkodobém horizontu 2 až 3 měsíců se</w:t>
      </w:r>
      <w:r w:rsidR="00C10EEA" w:rsidRPr="00326307">
        <w:rPr>
          <w:lang w:eastAsia="cs-CZ"/>
        </w:rPr>
        <w:t xml:space="preserve"> v Ústeckém kraji předpokládá</w:t>
      </w:r>
      <w:r w:rsidR="007F79EA" w:rsidRPr="00326307">
        <w:rPr>
          <w:lang w:eastAsia="cs-CZ"/>
        </w:rPr>
        <w:t xml:space="preserve"> pokračující nárůst zaměstnanosti a s ním spojené zlepšování stávající situace. </w:t>
      </w:r>
      <w:r w:rsidR="00B272D4" w:rsidRPr="00326307">
        <w:rPr>
          <w:lang w:eastAsia="cs-CZ"/>
        </w:rPr>
        <w:t>Napříč většinou okresů panuje shoda, ačkoliv všude zůstávají analytici nadále opatrní.</w:t>
      </w:r>
      <w:r w:rsidR="007F79EA" w:rsidRPr="00326307">
        <w:rPr>
          <w:lang w:eastAsia="cs-CZ"/>
        </w:rPr>
        <w:t xml:space="preserve"> </w:t>
      </w:r>
      <w:r w:rsidR="00B272D4" w:rsidRPr="00326307">
        <w:rPr>
          <w:lang w:eastAsia="cs-CZ"/>
        </w:rPr>
        <w:t xml:space="preserve">V současné době dochází </w:t>
      </w:r>
      <w:r w:rsidR="007F79EA" w:rsidRPr="00326307">
        <w:rPr>
          <w:lang w:eastAsia="cs-CZ"/>
        </w:rPr>
        <w:t>k poklesu</w:t>
      </w:r>
      <w:r w:rsidR="00086461" w:rsidRPr="00326307">
        <w:rPr>
          <w:lang w:eastAsia="cs-CZ"/>
        </w:rPr>
        <w:t xml:space="preserve"> </w:t>
      </w:r>
      <w:r w:rsidR="00687D54" w:rsidRPr="00326307">
        <w:rPr>
          <w:lang w:eastAsia="cs-CZ"/>
        </w:rPr>
        <w:t>stávajícího</w:t>
      </w:r>
      <w:r w:rsidR="00B272D4" w:rsidRPr="00326307">
        <w:rPr>
          <w:lang w:eastAsia="cs-CZ"/>
        </w:rPr>
        <w:t xml:space="preserve"> počtu uchazečů</w:t>
      </w:r>
      <w:r w:rsidR="00B272D4" w:rsidRPr="00326307">
        <w:rPr>
          <w:lang w:eastAsia="cs-CZ"/>
        </w:rPr>
        <w:br/>
      </w:r>
      <w:r w:rsidR="00C10EEA" w:rsidRPr="00326307">
        <w:rPr>
          <w:lang w:eastAsia="cs-CZ"/>
        </w:rPr>
        <w:t>o zaměstnání i podílu nezaměstnaných na o</w:t>
      </w:r>
      <w:r w:rsidR="00205E04" w:rsidRPr="00326307">
        <w:rPr>
          <w:lang w:eastAsia="cs-CZ"/>
        </w:rPr>
        <w:t>byvatelstvu ve věku 15-64 let</w:t>
      </w:r>
      <w:r w:rsidR="007F79EA" w:rsidRPr="00326307">
        <w:rPr>
          <w:lang w:eastAsia="cs-CZ"/>
        </w:rPr>
        <w:t xml:space="preserve">. </w:t>
      </w:r>
      <w:r w:rsidR="00B272D4" w:rsidRPr="00326307">
        <w:rPr>
          <w:lang w:eastAsia="cs-CZ"/>
        </w:rPr>
        <w:t>Tento nastolený trend nejspíš zastaví příchod prázdninových měsíců, kdy obecně klesá zájem ze strany zaměstnavatelů i uchazečů</w:t>
      </w:r>
      <w:r w:rsidR="00B272D4" w:rsidRPr="00326307">
        <w:rPr>
          <w:lang w:eastAsia="cs-CZ"/>
        </w:rPr>
        <w:br/>
        <w:t>o zaměstnání. Zaměstnavatelé částečně utlumují výrobu, vyhlašují celozávodní dovolené a další odstávky výroby. Naopak uchazeči o zaměstnání tráví dovolenou</w:t>
      </w:r>
      <w:r w:rsidR="00B504AC">
        <w:rPr>
          <w:lang w:eastAsia="cs-CZ"/>
        </w:rPr>
        <w:t xml:space="preserve"> se svými rodinami</w:t>
      </w:r>
      <w:r w:rsidR="00B272D4" w:rsidRPr="00326307">
        <w:rPr>
          <w:lang w:eastAsia="cs-CZ"/>
        </w:rPr>
        <w:t>, čerství absolve</w:t>
      </w:r>
      <w:r w:rsidR="00B504AC">
        <w:rPr>
          <w:lang w:eastAsia="cs-CZ"/>
        </w:rPr>
        <w:t xml:space="preserve">nti užívají posledních prázdnin </w:t>
      </w:r>
      <w:r w:rsidR="00B272D4" w:rsidRPr="00326307">
        <w:rPr>
          <w:lang w:eastAsia="cs-CZ"/>
        </w:rPr>
        <w:t>a zvýšené aktivita</w:t>
      </w:r>
      <w:r w:rsidR="00B504AC">
        <w:rPr>
          <w:lang w:eastAsia="cs-CZ"/>
        </w:rPr>
        <w:t xml:space="preserve"> při hledání nového zaměstnání</w:t>
      </w:r>
      <w:r w:rsidR="00B272D4" w:rsidRPr="00326307">
        <w:rPr>
          <w:lang w:eastAsia="cs-CZ"/>
        </w:rPr>
        <w:t xml:space="preserve"> se tak dá předpokládat až v září.</w:t>
      </w:r>
    </w:p>
    <w:p w:rsidR="00275116" w:rsidRPr="00326307" w:rsidRDefault="00205E04" w:rsidP="00B272D4">
      <w:pPr>
        <w:spacing w:after="0" w:line="240" w:lineRule="auto"/>
        <w:ind w:firstLine="708"/>
        <w:jc w:val="both"/>
        <w:rPr>
          <w:lang w:eastAsia="cs-CZ"/>
        </w:rPr>
      </w:pPr>
      <w:r w:rsidRPr="00326307">
        <w:rPr>
          <w:lang w:eastAsia="cs-CZ"/>
        </w:rPr>
        <w:t xml:space="preserve">Signály </w:t>
      </w:r>
      <w:r w:rsidR="00C10EEA" w:rsidRPr="00326307">
        <w:rPr>
          <w:lang w:eastAsia="cs-CZ"/>
        </w:rPr>
        <w:t>od vybraných zaměstnavatelů</w:t>
      </w:r>
      <w:r w:rsidRPr="00326307">
        <w:rPr>
          <w:lang w:eastAsia="cs-CZ"/>
        </w:rPr>
        <w:t xml:space="preserve"> opětovně</w:t>
      </w:r>
      <w:r w:rsidR="00C10EEA" w:rsidRPr="00326307">
        <w:rPr>
          <w:lang w:eastAsia="cs-CZ"/>
        </w:rPr>
        <w:t xml:space="preserve"> naznačují, že u nich dochází k pozvolnému </w:t>
      </w:r>
      <w:r w:rsidRPr="00326307">
        <w:rPr>
          <w:lang w:eastAsia="cs-CZ"/>
        </w:rPr>
        <w:t>ná</w:t>
      </w:r>
      <w:r w:rsidR="008A4CA1" w:rsidRPr="00326307">
        <w:rPr>
          <w:lang w:eastAsia="cs-CZ"/>
        </w:rPr>
        <w:t xml:space="preserve">růstu </w:t>
      </w:r>
      <w:r w:rsidRPr="00326307">
        <w:rPr>
          <w:lang w:eastAsia="cs-CZ"/>
        </w:rPr>
        <w:t xml:space="preserve">produkce a </w:t>
      </w:r>
      <w:r w:rsidR="008A4CA1" w:rsidRPr="00326307">
        <w:rPr>
          <w:lang w:eastAsia="cs-CZ"/>
        </w:rPr>
        <w:t xml:space="preserve">výroby, na který </w:t>
      </w:r>
      <w:r w:rsidR="00086461" w:rsidRPr="00326307">
        <w:rPr>
          <w:lang w:eastAsia="cs-CZ"/>
        </w:rPr>
        <w:t>by měl být</w:t>
      </w:r>
      <w:r w:rsidR="008A4CA1" w:rsidRPr="00326307">
        <w:rPr>
          <w:lang w:eastAsia="cs-CZ"/>
        </w:rPr>
        <w:t xml:space="preserve"> vázán i nábor nových pracovníků.</w:t>
      </w:r>
      <w:r w:rsidR="007F79EA" w:rsidRPr="00326307">
        <w:rPr>
          <w:lang w:eastAsia="cs-CZ"/>
        </w:rPr>
        <w:t xml:space="preserve"> Pozitivní vývoj a výhledové přijímání pracovníků hlásí zaměstnavatelé napříč všemi okresy. </w:t>
      </w:r>
      <w:r w:rsidR="00D070BE" w:rsidRPr="00326307">
        <w:rPr>
          <w:lang w:eastAsia="cs-CZ"/>
        </w:rPr>
        <w:t>Mezi nejžádanější profese</w:t>
      </w:r>
      <w:r w:rsidR="00850933" w:rsidRPr="00326307">
        <w:rPr>
          <w:lang w:eastAsia="cs-CZ"/>
        </w:rPr>
        <w:t xml:space="preserve"> v rámci Ústeckého kraje</w:t>
      </w:r>
      <w:r w:rsidR="00D070BE" w:rsidRPr="00326307">
        <w:rPr>
          <w:lang w:eastAsia="cs-CZ"/>
        </w:rPr>
        <w:t xml:space="preserve"> patří obchodní zástupci, </w:t>
      </w:r>
      <w:r w:rsidR="00091269" w:rsidRPr="00326307">
        <w:rPr>
          <w:lang w:eastAsia="cs-CZ"/>
        </w:rPr>
        <w:t xml:space="preserve">učitelé, číšníci </w:t>
      </w:r>
      <w:r w:rsidR="00D070BE" w:rsidRPr="00326307">
        <w:rPr>
          <w:lang w:eastAsia="cs-CZ"/>
        </w:rPr>
        <w:t>a servírky, kuchaři,</w:t>
      </w:r>
      <w:r w:rsidR="00CD6BCE" w:rsidRPr="00326307">
        <w:rPr>
          <w:lang w:eastAsia="cs-CZ"/>
        </w:rPr>
        <w:t xml:space="preserve"> prodavači,</w:t>
      </w:r>
      <w:r w:rsidR="00D070BE" w:rsidRPr="00326307">
        <w:rPr>
          <w:lang w:eastAsia="cs-CZ"/>
        </w:rPr>
        <w:t xml:space="preserve"> řidiči automobilů (především MKD), strážní a ostraha objektu, </w:t>
      </w:r>
      <w:r w:rsidR="007F79EA" w:rsidRPr="00326307">
        <w:rPr>
          <w:lang w:eastAsia="cs-CZ"/>
        </w:rPr>
        <w:t xml:space="preserve">zedníci, </w:t>
      </w:r>
      <w:r w:rsidR="004C185A" w:rsidRPr="00326307">
        <w:rPr>
          <w:lang w:eastAsia="cs-CZ"/>
        </w:rPr>
        <w:t xml:space="preserve">tesaři a truhláři, </w:t>
      </w:r>
      <w:r w:rsidR="007F79EA" w:rsidRPr="00326307">
        <w:rPr>
          <w:lang w:eastAsia="cs-CZ"/>
        </w:rPr>
        <w:t>svářeči, zámečníci, obráb</w:t>
      </w:r>
      <w:r w:rsidR="00EB1C34" w:rsidRPr="00326307">
        <w:rPr>
          <w:lang w:eastAsia="cs-CZ"/>
        </w:rPr>
        <w:t>ěči, obsluha strojů a zařízení.</w:t>
      </w:r>
    </w:p>
    <w:p w:rsidR="00E13015" w:rsidRPr="00326307" w:rsidRDefault="00E13015" w:rsidP="007C6BEF">
      <w:pPr>
        <w:spacing w:after="0" w:line="240" w:lineRule="auto"/>
        <w:jc w:val="both"/>
        <w:rPr>
          <w:lang w:eastAsia="cs-CZ"/>
        </w:rPr>
      </w:pPr>
      <w:r w:rsidRPr="00326307">
        <w:rPr>
          <w:lang w:eastAsia="cs-CZ"/>
        </w:rPr>
        <w:tab/>
        <w:t>V průběhu měsíce</w:t>
      </w:r>
      <w:r w:rsidR="00A06589" w:rsidRPr="00326307">
        <w:rPr>
          <w:lang w:eastAsia="cs-CZ"/>
        </w:rPr>
        <w:t xml:space="preserve"> </w:t>
      </w:r>
      <w:r w:rsidR="00AF34F4" w:rsidRPr="00326307">
        <w:rPr>
          <w:lang w:eastAsia="cs-CZ"/>
        </w:rPr>
        <w:t>června</w:t>
      </w:r>
      <w:r w:rsidRPr="00326307">
        <w:rPr>
          <w:lang w:eastAsia="cs-CZ"/>
        </w:rPr>
        <w:t xml:space="preserve"> 2014 bylo uskuteč</w:t>
      </w:r>
      <w:r w:rsidR="00AF34F4" w:rsidRPr="00326307">
        <w:rPr>
          <w:lang w:eastAsia="cs-CZ"/>
        </w:rPr>
        <w:t>něno 154</w:t>
      </w:r>
      <w:r w:rsidR="003B3AC5" w:rsidRPr="00326307">
        <w:rPr>
          <w:lang w:eastAsia="cs-CZ"/>
        </w:rPr>
        <w:t xml:space="preserve"> monitorovacích návštěv </w:t>
      </w:r>
      <w:r w:rsidRPr="00326307">
        <w:rPr>
          <w:lang w:eastAsia="cs-CZ"/>
        </w:rPr>
        <w:t xml:space="preserve">u zaměstnavatelů, přičemž </w:t>
      </w:r>
      <w:r w:rsidR="004755A7" w:rsidRPr="00326307">
        <w:rPr>
          <w:lang w:eastAsia="cs-CZ"/>
        </w:rPr>
        <w:t>nej</w:t>
      </w:r>
      <w:r w:rsidR="00AF34F4" w:rsidRPr="00326307">
        <w:rPr>
          <w:lang w:eastAsia="cs-CZ"/>
        </w:rPr>
        <w:t>více (55</w:t>
      </w:r>
      <w:r w:rsidR="00680B16" w:rsidRPr="00326307">
        <w:rPr>
          <w:lang w:eastAsia="cs-CZ"/>
        </w:rPr>
        <w:t>) proběhlo</w:t>
      </w:r>
      <w:r w:rsidRPr="00326307">
        <w:rPr>
          <w:lang w:eastAsia="cs-CZ"/>
        </w:rPr>
        <w:t xml:space="preserve"> </w:t>
      </w:r>
      <w:r w:rsidR="00AF34F4" w:rsidRPr="00326307">
        <w:rPr>
          <w:lang w:eastAsia="cs-CZ"/>
        </w:rPr>
        <w:t xml:space="preserve">opakovaně </w:t>
      </w:r>
      <w:r w:rsidRPr="00326307">
        <w:rPr>
          <w:lang w:eastAsia="cs-CZ"/>
        </w:rPr>
        <w:t xml:space="preserve">v okrese </w:t>
      </w:r>
      <w:r w:rsidR="004755A7" w:rsidRPr="00326307">
        <w:rPr>
          <w:lang w:eastAsia="cs-CZ"/>
        </w:rPr>
        <w:t>Teplice</w:t>
      </w:r>
      <w:r w:rsidRPr="00326307">
        <w:rPr>
          <w:lang w:eastAsia="cs-CZ"/>
        </w:rPr>
        <w:t xml:space="preserve">. </w:t>
      </w:r>
      <w:r w:rsidR="00680B16" w:rsidRPr="00326307">
        <w:rPr>
          <w:lang w:eastAsia="cs-CZ"/>
        </w:rPr>
        <w:t xml:space="preserve">Z názorů navštívených zaměstnavatelů </w:t>
      </w:r>
      <w:r w:rsidR="00A06589" w:rsidRPr="00326307">
        <w:rPr>
          <w:lang w:eastAsia="cs-CZ"/>
        </w:rPr>
        <w:t xml:space="preserve">všech okresů </w:t>
      </w:r>
      <w:r w:rsidR="00680B16" w:rsidRPr="00326307">
        <w:rPr>
          <w:lang w:eastAsia="cs-CZ"/>
        </w:rPr>
        <w:t>vyplývá očekávaný</w:t>
      </w:r>
      <w:r w:rsidR="005B35E6" w:rsidRPr="00326307">
        <w:rPr>
          <w:lang w:eastAsia="cs-CZ"/>
        </w:rPr>
        <w:t xml:space="preserve"> pozvolný nárůst počtu zakázek i</w:t>
      </w:r>
      <w:r w:rsidR="00680B16" w:rsidRPr="00326307">
        <w:rPr>
          <w:lang w:eastAsia="cs-CZ"/>
        </w:rPr>
        <w:t xml:space="preserve"> objemu výroby</w:t>
      </w:r>
      <w:r w:rsidR="00A06589" w:rsidRPr="00326307">
        <w:rPr>
          <w:lang w:eastAsia="cs-CZ"/>
        </w:rPr>
        <w:t xml:space="preserve">, v horším případě stagnace. </w:t>
      </w:r>
      <w:r w:rsidRPr="00326307">
        <w:rPr>
          <w:lang w:eastAsia="cs-CZ"/>
        </w:rPr>
        <w:t xml:space="preserve">Pozitivně se </w:t>
      </w:r>
      <w:r w:rsidR="00680B16" w:rsidRPr="00326307">
        <w:rPr>
          <w:lang w:eastAsia="cs-CZ"/>
        </w:rPr>
        <w:t xml:space="preserve">zaměstnavatelé </w:t>
      </w:r>
      <w:r w:rsidRPr="00326307">
        <w:rPr>
          <w:lang w:eastAsia="cs-CZ"/>
        </w:rPr>
        <w:t>staví k nástrojům APZ</w:t>
      </w:r>
      <w:r w:rsidR="005B35E6" w:rsidRPr="00326307">
        <w:rPr>
          <w:lang w:eastAsia="cs-CZ"/>
        </w:rPr>
        <w:t xml:space="preserve"> či nabízeným RIP</w:t>
      </w:r>
      <w:r w:rsidRPr="00326307">
        <w:rPr>
          <w:lang w:eastAsia="cs-CZ"/>
        </w:rPr>
        <w:t xml:space="preserve">, které by mohly částečně napomoci </w:t>
      </w:r>
      <w:r w:rsidR="00374AC7" w:rsidRPr="00326307">
        <w:rPr>
          <w:lang w:eastAsia="cs-CZ"/>
        </w:rPr>
        <w:t xml:space="preserve">ke zlepšení personální situace ve společnostech. </w:t>
      </w:r>
      <w:r w:rsidR="004755A7" w:rsidRPr="00326307">
        <w:rPr>
          <w:lang w:eastAsia="cs-CZ"/>
        </w:rPr>
        <w:t xml:space="preserve">Za pozitivní může brát skutečnost, že žádný z navštívených zaměstnavatelů nepředpokládá v nebližších měsících propouštění svých zaměstnanců, což </w:t>
      </w:r>
      <w:r w:rsidR="00F31AC7" w:rsidRPr="00326307">
        <w:rPr>
          <w:lang w:eastAsia="cs-CZ"/>
        </w:rPr>
        <w:t>je jev v nedávné minulosti nevídaný.</w:t>
      </w:r>
    </w:p>
    <w:p w:rsidR="00E4382D" w:rsidRPr="00326307" w:rsidRDefault="00E4382D" w:rsidP="007C6BEF">
      <w:pPr>
        <w:spacing w:after="0" w:line="240" w:lineRule="auto"/>
        <w:jc w:val="both"/>
        <w:rPr>
          <w:lang w:eastAsia="cs-CZ"/>
        </w:rPr>
      </w:pPr>
    </w:p>
    <w:p w:rsidR="002876E8" w:rsidRPr="00326307" w:rsidRDefault="002876E8" w:rsidP="007C6BEF">
      <w:pPr>
        <w:spacing w:after="0" w:line="240" w:lineRule="auto"/>
        <w:jc w:val="both"/>
        <w:rPr>
          <w:bCs/>
        </w:rPr>
      </w:pPr>
      <w:r w:rsidRPr="00326307">
        <w:rPr>
          <w:bCs/>
        </w:rPr>
        <w:t>Tabulka č. 4 - Potřeby zaměstnavatelů v Ústeckém kraji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87"/>
        <w:gridCol w:w="1049"/>
        <w:gridCol w:w="1417"/>
        <w:gridCol w:w="3402"/>
        <w:gridCol w:w="1099"/>
      </w:tblGrid>
      <w:tr w:rsidR="00634DC3" w:rsidRPr="00326307" w:rsidTr="00C86138">
        <w:trPr>
          <w:trHeight w:val="493"/>
        </w:trPr>
        <w:tc>
          <w:tcPr>
            <w:tcW w:w="2887" w:type="dxa"/>
            <w:shd w:val="clear" w:color="auto" w:fill="FFCCCC"/>
            <w:vAlign w:val="center"/>
            <w:hideMark/>
          </w:tcPr>
          <w:p w:rsidR="00D55B10" w:rsidRPr="00326307" w:rsidRDefault="00D55B10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26307">
              <w:rPr>
                <w:rFonts w:asciiTheme="minorHAnsi" w:hAnsiTheme="minorHAnsi"/>
                <w:b/>
                <w:bCs/>
              </w:rPr>
              <w:t xml:space="preserve">Název zaměstnavatele s očekávaným nejvyšším počtem nově vytvářených </w:t>
            </w:r>
            <w:proofErr w:type="spellStart"/>
            <w:r w:rsidRPr="00326307">
              <w:rPr>
                <w:rFonts w:asciiTheme="minorHAnsi" w:hAnsiTheme="minorHAnsi"/>
                <w:b/>
                <w:bCs/>
              </w:rPr>
              <w:t>prac</w:t>
            </w:r>
            <w:proofErr w:type="spellEnd"/>
            <w:r w:rsidRPr="00326307">
              <w:rPr>
                <w:rFonts w:asciiTheme="minorHAnsi" w:hAnsiTheme="minorHAnsi"/>
                <w:b/>
                <w:bCs/>
              </w:rPr>
              <w:t xml:space="preserve">. </w:t>
            </w:r>
            <w:proofErr w:type="gramStart"/>
            <w:r w:rsidRPr="00326307">
              <w:rPr>
                <w:rFonts w:asciiTheme="minorHAnsi" w:hAnsiTheme="minorHAnsi"/>
                <w:b/>
                <w:bCs/>
              </w:rPr>
              <w:t>míst</w:t>
            </w:r>
            <w:proofErr w:type="gramEnd"/>
          </w:p>
        </w:tc>
        <w:tc>
          <w:tcPr>
            <w:tcW w:w="1049" w:type="dxa"/>
            <w:shd w:val="clear" w:color="auto" w:fill="FFCCCC"/>
            <w:vAlign w:val="center"/>
            <w:hideMark/>
          </w:tcPr>
          <w:p w:rsidR="00D55B10" w:rsidRPr="00326307" w:rsidRDefault="00D55B10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26307">
              <w:rPr>
                <w:rFonts w:asciiTheme="minorHAnsi" w:hAnsiTheme="minorHAnsi"/>
                <w:b/>
                <w:bCs/>
              </w:rPr>
              <w:t>IČ</w:t>
            </w:r>
          </w:p>
        </w:tc>
        <w:tc>
          <w:tcPr>
            <w:tcW w:w="1417" w:type="dxa"/>
            <w:shd w:val="clear" w:color="auto" w:fill="FFCCCC"/>
            <w:vAlign w:val="center"/>
            <w:hideMark/>
          </w:tcPr>
          <w:p w:rsidR="00D55B10" w:rsidRPr="00326307" w:rsidRDefault="00D55B10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26307">
              <w:rPr>
                <w:rFonts w:asciiTheme="minorHAnsi" w:hAnsiTheme="minorHAnsi"/>
                <w:b/>
                <w:bCs/>
              </w:rPr>
              <w:t>Obec, město</w:t>
            </w:r>
          </w:p>
        </w:tc>
        <w:tc>
          <w:tcPr>
            <w:tcW w:w="3402" w:type="dxa"/>
            <w:shd w:val="clear" w:color="auto" w:fill="FFCCCC"/>
            <w:vAlign w:val="center"/>
            <w:hideMark/>
          </w:tcPr>
          <w:p w:rsidR="00D55B10" w:rsidRPr="00326307" w:rsidRDefault="00D55B10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26307">
              <w:rPr>
                <w:rFonts w:asciiTheme="minorHAnsi" w:hAnsiTheme="minorHAnsi"/>
                <w:b/>
                <w:bCs/>
              </w:rPr>
              <w:t>Obor činnosti (CZ-NACE kód + název)</w:t>
            </w:r>
          </w:p>
        </w:tc>
        <w:tc>
          <w:tcPr>
            <w:tcW w:w="1099" w:type="dxa"/>
            <w:shd w:val="clear" w:color="auto" w:fill="FFCCCC"/>
            <w:vAlign w:val="center"/>
            <w:hideMark/>
          </w:tcPr>
          <w:p w:rsidR="00D55B10" w:rsidRPr="00326307" w:rsidRDefault="00D55B10" w:rsidP="00157BAE">
            <w:pPr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326307">
              <w:rPr>
                <w:rFonts w:asciiTheme="minorHAnsi" w:hAnsiTheme="minorHAnsi"/>
                <w:b/>
                <w:bCs/>
              </w:rPr>
              <w:t>Předpokl</w:t>
            </w:r>
            <w:proofErr w:type="spellEnd"/>
            <w:r w:rsidR="00157BAE" w:rsidRPr="00326307">
              <w:rPr>
                <w:rFonts w:asciiTheme="minorHAnsi" w:hAnsiTheme="minorHAnsi"/>
                <w:b/>
                <w:bCs/>
              </w:rPr>
              <w:t>.</w:t>
            </w:r>
            <w:r w:rsidRPr="00326307">
              <w:rPr>
                <w:rFonts w:asciiTheme="minorHAnsi" w:hAnsiTheme="minorHAnsi"/>
                <w:b/>
                <w:bCs/>
              </w:rPr>
              <w:t xml:space="preserve"> nárůst </w:t>
            </w:r>
            <w:r w:rsidR="00157BAE" w:rsidRPr="00326307">
              <w:rPr>
                <w:rFonts w:asciiTheme="minorHAnsi" w:hAnsiTheme="minorHAnsi"/>
                <w:b/>
                <w:bCs/>
              </w:rPr>
              <w:t>celkem</w:t>
            </w:r>
          </w:p>
        </w:tc>
      </w:tr>
      <w:tr w:rsidR="00634DC3" w:rsidRPr="00326307" w:rsidTr="00AF34F4">
        <w:trPr>
          <w:trHeight w:val="179"/>
        </w:trPr>
        <w:tc>
          <w:tcPr>
            <w:tcW w:w="2887" w:type="dxa"/>
            <w:vAlign w:val="center"/>
            <w:hideMark/>
          </w:tcPr>
          <w:p w:rsidR="00D55B10" w:rsidRPr="00326307" w:rsidRDefault="00AF34F4" w:rsidP="00D55B10">
            <w:pPr>
              <w:rPr>
                <w:rFonts w:asciiTheme="minorHAnsi" w:hAnsiTheme="minorHAnsi"/>
                <w:bCs/>
              </w:rPr>
            </w:pPr>
            <w:proofErr w:type="spellStart"/>
            <w:r w:rsidRPr="00326307">
              <w:rPr>
                <w:rFonts w:asciiTheme="minorHAnsi" w:hAnsiTheme="minorHAnsi"/>
                <w:bCs/>
              </w:rPr>
              <w:t>Gammer</w:t>
            </w:r>
            <w:proofErr w:type="spellEnd"/>
          </w:p>
        </w:tc>
        <w:tc>
          <w:tcPr>
            <w:tcW w:w="1049" w:type="dxa"/>
            <w:vAlign w:val="center"/>
            <w:hideMark/>
          </w:tcPr>
          <w:p w:rsidR="00D55B10" w:rsidRPr="00326307" w:rsidRDefault="00AF34F4" w:rsidP="00110F90">
            <w:pPr>
              <w:jc w:val="center"/>
              <w:rPr>
                <w:rFonts w:asciiTheme="minorHAnsi" w:hAnsiTheme="minorHAnsi"/>
                <w:bCs/>
              </w:rPr>
            </w:pPr>
            <w:r w:rsidRPr="00326307">
              <w:rPr>
                <w:rFonts w:asciiTheme="minorHAnsi" w:hAnsiTheme="minorHAnsi"/>
                <w:bCs/>
              </w:rPr>
              <w:t>64361462</w:t>
            </w:r>
          </w:p>
        </w:tc>
        <w:tc>
          <w:tcPr>
            <w:tcW w:w="1417" w:type="dxa"/>
            <w:vAlign w:val="center"/>
            <w:hideMark/>
          </w:tcPr>
          <w:p w:rsidR="00D55B10" w:rsidRPr="00326307" w:rsidRDefault="00AF34F4" w:rsidP="00D55B10">
            <w:pPr>
              <w:jc w:val="center"/>
              <w:rPr>
                <w:rFonts w:asciiTheme="minorHAnsi" w:hAnsiTheme="minorHAnsi"/>
                <w:bCs/>
              </w:rPr>
            </w:pPr>
            <w:r w:rsidRPr="00326307">
              <w:rPr>
                <w:rFonts w:asciiTheme="minorHAnsi" w:hAnsiTheme="minorHAnsi"/>
                <w:bCs/>
              </w:rPr>
              <w:t>Žatec</w:t>
            </w:r>
          </w:p>
        </w:tc>
        <w:tc>
          <w:tcPr>
            <w:tcW w:w="3402" w:type="dxa"/>
            <w:vAlign w:val="center"/>
            <w:hideMark/>
          </w:tcPr>
          <w:p w:rsidR="00D55B10" w:rsidRPr="00326307" w:rsidRDefault="00AF34F4" w:rsidP="00AF34F4">
            <w:pPr>
              <w:rPr>
                <w:rFonts w:asciiTheme="minorHAnsi" w:hAnsiTheme="minorHAnsi"/>
                <w:bCs/>
              </w:rPr>
            </w:pPr>
            <w:r w:rsidRPr="00326307">
              <w:rPr>
                <w:rFonts w:asciiTheme="minorHAnsi" w:hAnsiTheme="minorHAnsi"/>
                <w:bCs/>
              </w:rPr>
              <w:t>29320  - Výroba ostatních dílů a příslušenství pro motorová vozidla</w:t>
            </w:r>
          </w:p>
        </w:tc>
        <w:tc>
          <w:tcPr>
            <w:tcW w:w="1099" w:type="dxa"/>
            <w:vAlign w:val="center"/>
            <w:hideMark/>
          </w:tcPr>
          <w:p w:rsidR="00D55B10" w:rsidRPr="00326307" w:rsidRDefault="00AF34F4" w:rsidP="00D55B10">
            <w:pPr>
              <w:jc w:val="center"/>
              <w:rPr>
                <w:rFonts w:asciiTheme="minorHAnsi" w:hAnsiTheme="minorHAnsi"/>
              </w:rPr>
            </w:pPr>
            <w:r w:rsidRPr="00326307">
              <w:rPr>
                <w:rFonts w:asciiTheme="minorHAnsi" w:hAnsiTheme="minorHAnsi"/>
              </w:rPr>
              <w:t>50</w:t>
            </w:r>
          </w:p>
        </w:tc>
      </w:tr>
      <w:tr w:rsidR="00634DC3" w:rsidRPr="00326307" w:rsidTr="00AF34F4">
        <w:trPr>
          <w:trHeight w:val="528"/>
        </w:trPr>
        <w:tc>
          <w:tcPr>
            <w:tcW w:w="2887" w:type="dxa"/>
            <w:vAlign w:val="center"/>
            <w:hideMark/>
          </w:tcPr>
          <w:p w:rsidR="00D55B10" w:rsidRPr="00326307" w:rsidRDefault="00AF34F4" w:rsidP="00D55B10">
            <w:pPr>
              <w:rPr>
                <w:rFonts w:asciiTheme="minorHAnsi" w:hAnsiTheme="minorHAnsi"/>
                <w:bCs/>
              </w:rPr>
            </w:pPr>
            <w:r w:rsidRPr="00326307">
              <w:rPr>
                <w:rFonts w:asciiTheme="minorHAnsi" w:hAnsiTheme="minorHAnsi"/>
                <w:bCs/>
              </w:rPr>
              <w:t>Mondi Štětí, a.s.</w:t>
            </w:r>
          </w:p>
        </w:tc>
        <w:tc>
          <w:tcPr>
            <w:tcW w:w="1049" w:type="dxa"/>
            <w:vAlign w:val="center"/>
            <w:hideMark/>
          </w:tcPr>
          <w:p w:rsidR="00D55B10" w:rsidRPr="00326307" w:rsidRDefault="00AF34F4" w:rsidP="00E47BCB">
            <w:pPr>
              <w:jc w:val="center"/>
              <w:rPr>
                <w:rFonts w:asciiTheme="minorHAnsi" w:hAnsiTheme="minorHAnsi"/>
                <w:bCs/>
              </w:rPr>
            </w:pPr>
            <w:r w:rsidRPr="00326307">
              <w:rPr>
                <w:rFonts w:asciiTheme="minorHAnsi" w:hAnsiTheme="minorHAnsi"/>
                <w:bCs/>
              </w:rPr>
              <w:t>26161516</w:t>
            </w:r>
          </w:p>
        </w:tc>
        <w:tc>
          <w:tcPr>
            <w:tcW w:w="1417" w:type="dxa"/>
            <w:vAlign w:val="center"/>
            <w:hideMark/>
          </w:tcPr>
          <w:p w:rsidR="00D55B10" w:rsidRPr="00326307" w:rsidRDefault="00AF34F4" w:rsidP="00E47BCB">
            <w:pPr>
              <w:jc w:val="center"/>
              <w:rPr>
                <w:rFonts w:asciiTheme="minorHAnsi" w:hAnsiTheme="minorHAnsi"/>
                <w:bCs/>
              </w:rPr>
            </w:pPr>
            <w:r w:rsidRPr="00326307">
              <w:rPr>
                <w:rFonts w:asciiTheme="minorHAnsi" w:hAnsiTheme="minorHAnsi"/>
                <w:bCs/>
              </w:rPr>
              <w:t>Štětí</w:t>
            </w:r>
          </w:p>
        </w:tc>
        <w:tc>
          <w:tcPr>
            <w:tcW w:w="3402" w:type="dxa"/>
            <w:vAlign w:val="center"/>
            <w:hideMark/>
          </w:tcPr>
          <w:p w:rsidR="00AF34F4" w:rsidRPr="00326307" w:rsidRDefault="00AF34F4" w:rsidP="00AF34F4">
            <w:pPr>
              <w:rPr>
                <w:rFonts w:asciiTheme="minorHAnsi" w:hAnsiTheme="minorHAnsi"/>
                <w:bCs/>
              </w:rPr>
            </w:pPr>
            <w:r w:rsidRPr="00326307">
              <w:rPr>
                <w:rFonts w:asciiTheme="minorHAnsi" w:hAnsiTheme="minorHAnsi"/>
                <w:bCs/>
              </w:rPr>
              <w:t>1712 - Výroba papíru a lepenky</w:t>
            </w:r>
          </w:p>
        </w:tc>
        <w:tc>
          <w:tcPr>
            <w:tcW w:w="1099" w:type="dxa"/>
            <w:vAlign w:val="center"/>
            <w:hideMark/>
          </w:tcPr>
          <w:p w:rsidR="00D55B10" w:rsidRPr="00326307" w:rsidRDefault="00AF34F4" w:rsidP="00E47BCB">
            <w:pPr>
              <w:jc w:val="center"/>
              <w:rPr>
                <w:rFonts w:asciiTheme="minorHAnsi" w:hAnsiTheme="minorHAnsi"/>
              </w:rPr>
            </w:pPr>
            <w:r w:rsidRPr="00326307">
              <w:rPr>
                <w:rFonts w:asciiTheme="minorHAnsi" w:hAnsiTheme="minorHAnsi"/>
              </w:rPr>
              <w:t>30</w:t>
            </w:r>
          </w:p>
        </w:tc>
      </w:tr>
      <w:tr w:rsidR="00634DC3" w:rsidRPr="00326307" w:rsidTr="00AF34F4">
        <w:trPr>
          <w:trHeight w:val="179"/>
        </w:trPr>
        <w:tc>
          <w:tcPr>
            <w:tcW w:w="2887" w:type="dxa"/>
            <w:vAlign w:val="center"/>
            <w:hideMark/>
          </w:tcPr>
          <w:p w:rsidR="00157BAE" w:rsidRPr="00326307" w:rsidRDefault="00AF34F4" w:rsidP="00D55B10">
            <w:pPr>
              <w:rPr>
                <w:rFonts w:asciiTheme="minorHAnsi" w:hAnsiTheme="minorHAnsi"/>
                <w:bCs/>
              </w:rPr>
            </w:pPr>
            <w:proofErr w:type="spellStart"/>
            <w:r w:rsidRPr="00326307">
              <w:rPr>
                <w:rFonts w:asciiTheme="minorHAnsi" w:hAnsiTheme="minorHAnsi"/>
                <w:bCs/>
              </w:rPr>
              <w:t>Dräger</w:t>
            </w:r>
            <w:proofErr w:type="spellEnd"/>
            <w:r w:rsidRPr="00326307">
              <w:rPr>
                <w:rFonts w:asciiTheme="minorHAnsi" w:hAnsiTheme="minorHAnsi"/>
                <w:bCs/>
              </w:rPr>
              <w:t xml:space="preserve"> Chomutov s.r.o.</w:t>
            </w:r>
          </w:p>
        </w:tc>
        <w:tc>
          <w:tcPr>
            <w:tcW w:w="1049" w:type="dxa"/>
            <w:vAlign w:val="center"/>
            <w:hideMark/>
          </w:tcPr>
          <w:p w:rsidR="00157BAE" w:rsidRPr="00326307" w:rsidRDefault="00AF34F4" w:rsidP="00E47BCB">
            <w:pPr>
              <w:jc w:val="center"/>
              <w:rPr>
                <w:rFonts w:asciiTheme="minorHAnsi" w:hAnsiTheme="minorHAnsi"/>
                <w:bCs/>
              </w:rPr>
            </w:pPr>
            <w:r w:rsidRPr="00326307">
              <w:rPr>
                <w:rFonts w:asciiTheme="minorHAnsi" w:hAnsiTheme="minorHAnsi"/>
                <w:bCs/>
              </w:rPr>
              <w:t>28668197</w:t>
            </w:r>
          </w:p>
        </w:tc>
        <w:tc>
          <w:tcPr>
            <w:tcW w:w="1417" w:type="dxa"/>
            <w:vAlign w:val="center"/>
            <w:hideMark/>
          </w:tcPr>
          <w:p w:rsidR="00157BAE" w:rsidRPr="00326307" w:rsidRDefault="00AF34F4" w:rsidP="00E47BCB">
            <w:pPr>
              <w:jc w:val="center"/>
              <w:rPr>
                <w:rFonts w:asciiTheme="minorHAnsi" w:hAnsiTheme="minorHAnsi"/>
                <w:bCs/>
              </w:rPr>
            </w:pPr>
            <w:r w:rsidRPr="00326307">
              <w:rPr>
                <w:rFonts w:asciiTheme="minorHAnsi" w:hAnsiTheme="minorHAnsi"/>
                <w:bCs/>
              </w:rPr>
              <w:t>Chomutov</w:t>
            </w:r>
          </w:p>
        </w:tc>
        <w:tc>
          <w:tcPr>
            <w:tcW w:w="3402" w:type="dxa"/>
            <w:vAlign w:val="center"/>
            <w:hideMark/>
          </w:tcPr>
          <w:p w:rsidR="00157BAE" w:rsidRPr="00326307" w:rsidRDefault="00AF34F4" w:rsidP="00AF34F4">
            <w:pPr>
              <w:rPr>
                <w:rFonts w:asciiTheme="minorHAnsi" w:hAnsiTheme="minorHAnsi"/>
                <w:bCs/>
              </w:rPr>
            </w:pPr>
            <w:r w:rsidRPr="00326307">
              <w:rPr>
                <w:rFonts w:asciiTheme="minorHAnsi" w:hAnsiTheme="minorHAnsi"/>
                <w:bCs/>
              </w:rPr>
              <w:t>22290 - Výroba ostatních plastových výrobků</w:t>
            </w:r>
          </w:p>
        </w:tc>
        <w:tc>
          <w:tcPr>
            <w:tcW w:w="1099" w:type="dxa"/>
            <w:vAlign w:val="center"/>
            <w:hideMark/>
          </w:tcPr>
          <w:p w:rsidR="00157BAE" w:rsidRPr="00326307" w:rsidRDefault="00AF34F4" w:rsidP="00E47BCB">
            <w:pPr>
              <w:jc w:val="center"/>
              <w:rPr>
                <w:rFonts w:asciiTheme="minorHAnsi" w:hAnsiTheme="minorHAnsi"/>
              </w:rPr>
            </w:pPr>
            <w:r w:rsidRPr="00326307">
              <w:rPr>
                <w:rFonts w:asciiTheme="minorHAnsi" w:hAnsiTheme="minorHAnsi"/>
              </w:rPr>
              <w:t>25</w:t>
            </w:r>
          </w:p>
        </w:tc>
      </w:tr>
      <w:tr w:rsidR="00634DC3" w:rsidRPr="00326307" w:rsidTr="00290CD4">
        <w:trPr>
          <w:trHeight w:val="86"/>
        </w:trPr>
        <w:tc>
          <w:tcPr>
            <w:tcW w:w="9854" w:type="dxa"/>
            <w:gridSpan w:val="5"/>
            <w:shd w:val="clear" w:color="auto" w:fill="FFCCCC"/>
            <w:vAlign w:val="center"/>
            <w:hideMark/>
          </w:tcPr>
          <w:p w:rsidR="00157BAE" w:rsidRPr="00326307" w:rsidRDefault="00157BAE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26307">
              <w:rPr>
                <w:rFonts w:asciiTheme="minorHAnsi" w:hAnsiTheme="minorHAnsi"/>
                <w:b/>
                <w:bCs/>
              </w:rPr>
              <w:t xml:space="preserve">Požadavky zaměstnavatele z hlediska kvalifikace na nové zaměstnance a zhodnocení, zda </w:t>
            </w:r>
            <w:proofErr w:type="spellStart"/>
            <w:r w:rsidRPr="00326307">
              <w:rPr>
                <w:rFonts w:asciiTheme="minorHAnsi" w:hAnsiTheme="minorHAnsi"/>
                <w:b/>
                <w:bCs/>
              </w:rPr>
              <w:t>UoZ</w:t>
            </w:r>
            <w:proofErr w:type="spellEnd"/>
            <w:r w:rsidRPr="00326307">
              <w:rPr>
                <w:rFonts w:asciiTheme="minorHAnsi" w:hAnsiTheme="minorHAnsi"/>
                <w:b/>
                <w:bCs/>
              </w:rPr>
              <w:t xml:space="preserve"> a zájemci tyto požadavky splňují, popř. zda by absolvováním vhodného </w:t>
            </w:r>
            <w:proofErr w:type="spellStart"/>
            <w:r w:rsidRPr="00326307">
              <w:rPr>
                <w:rFonts w:asciiTheme="minorHAnsi" w:hAnsiTheme="minorHAnsi"/>
                <w:b/>
                <w:bCs/>
              </w:rPr>
              <w:t>rekv</w:t>
            </w:r>
            <w:proofErr w:type="spellEnd"/>
            <w:r w:rsidRPr="00326307">
              <w:rPr>
                <w:rFonts w:asciiTheme="minorHAnsi" w:hAnsiTheme="minorHAnsi"/>
                <w:b/>
                <w:bCs/>
              </w:rPr>
              <w:t>. kurzu dosáhli požadované kvalifikační úrovně:</w:t>
            </w:r>
          </w:p>
        </w:tc>
      </w:tr>
      <w:tr w:rsidR="00634DC3" w:rsidRPr="00326307" w:rsidTr="00290CD4">
        <w:trPr>
          <w:trHeight w:val="70"/>
        </w:trPr>
        <w:tc>
          <w:tcPr>
            <w:tcW w:w="2887" w:type="dxa"/>
            <w:vAlign w:val="center"/>
            <w:hideMark/>
          </w:tcPr>
          <w:p w:rsidR="00157BAE" w:rsidRPr="00326307" w:rsidRDefault="00AF34F4" w:rsidP="00157BAE">
            <w:pPr>
              <w:rPr>
                <w:rFonts w:asciiTheme="minorHAnsi" w:hAnsiTheme="minorHAnsi"/>
                <w:bCs/>
              </w:rPr>
            </w:pPr>
            <w:proofErr w:type="spellStart"/>
            <w:r w:rsidRPr="00326307">
              <w:rPr>
                <w:rFonts w:asciiTheme="minorHAnsi" w:hAnsiTheme="minorHAnsi"/>
                <w:bCs/>
              </w:rPr>
              <w:t>Gammer</w:t>
            </w:r>
            <w:proofErr w:type="spellEnd"/>
          </w:p>
        </w:tc>
        <w:tc>
          <w:tcPr>
            <w:tcW w:w="6967" w:type="dxa"/>
            <w:gridSpan w:val="4"/>
            <w:vAlign w:val="center"/>
            <w:hideMark/>
          </w:tcPr>
          <w:p w:rsidR="00157BAE" w:rsidRPr="00326307" w:rsidRDefault="00AF34F4" w:rsidP="00EC41A2">
            <w:pPr>
              <w:rPr>
                <w:rFonts w:asciiTheme="minorHAnsi" w:hAnsiTheme="minorHAnsi"/>
                <w:bCs/>
              </w:rPr>
            </w:pPr>
            <w:r w:rsidRPr="00326307">
              <w:rPr>
                <w:rFonts w:asciiTheme="minorHAnsi" w:hAnsiTheme="minorHAnsi"/>
                <w:bCs/>
              </w:rPr>
              <w:t>ÚSO vzdělání či vyučení, manuální zručnost, zkušenosti s prací ve výrobním závodu a ve směnném provozu.</w:t>
            </w:r>
          </w:p>
        </w:tc>
      </w:tr>
      <w:tr w:rsidR="00634DC3" w:rsidRPr="00326307" w:rsidTr="00AF34F4">
        <w:trPr>
          <w:trHeight w:val="613"/>
        </w:trPr>
        <w:tc>
          <w:tcPr>
            <w:tcW w:w="2887" w:type="dxa"/>
            <w:vAlign w:val="center"/>
            <w:hideMark/>
          </w:tcPr>
          <w:p w:rsidR="00157BAE" w:rsidRPr="00326307" w:rsidRDefault="00AF34F4" w:rsidP="00D55B10">
            <w:pPr>
              <w:rPr>
                <w:rFonts w:asciiTheme="minorHAnsi" w:hAnsiTheme="minorHAnsi"/>
                <w:bCs/>
              </w:rPr>
            </w:pPr>
            <w:r w:rsidRPr="00326307">
              <w:rPr>
                <w:rFonts w:asciiTheme="minorHAnsi" w:hAnsiTheme="minorHAnsi"/>
                <w:bCs/>
              </w:rPr>
              <w:t>Mondi Štětí, a.s.</w:t>
            </w:r>
          </w:p>
        </w:tc>
        <w:tc>
          <w:tcPr>
            <w:tcW w:w="6967" w:type="dxa"/>
            <w:gridSpan w:val="4"/>
            <w:vAlign w:val="center"/>
            <w:hideMark/>
          </w:tcPr>
          <w:p w:rsidR="00157BAE" w:rsidRPr="00326307" w:rsidRDefault="00AF34F4" w:rsidP="0046736F">
            <w:pPr>
              <w:rPr>
                <w:rFonts w:asciiTheme="minorHAnsi" w:hAnsiTheme="minorHAnsi"/>
                <w:bCs/>
              </w:rPr>
            </w:pPr>
            <w:r w:rsidRPr="00326307">
              <w:rPr>
                <w:rFonts w:asciiTheme="minorHAnsi" w:hAnsiTheme="minorHAnsi"/>
                <w:bCs/>
              </w:rPr>
              <w:t>Zaměstnavatel neuvedl žádné specifické požadavky na uchazeče.</w:t>
            </w:r>
          </w:p>
        </w:tc>
      </w:tr>
      <w:tr w:rsidR="00634DC3" w:rsidRPr="00326307" w:rsidTr="00850933">
        <w:trPr>
          <w:trHeight w:val="565"/>
        </w:trPr>
        <w:tc>
          <w:tcPr>
            <w:tcW w:w="2887" w:type="dxa"/>
            <w:vAlign w:val="center"/>
            <w:hideMark/>
          </w:tcPr>
          <w:p w:rsidR="00157BAE" w:rsidRPr="00326307" w:rsidRDefault="00AF34F4" w:rsidP="00D55B10">
            <w:pPr>
              <w:rPr>
                <w:rFonts w:asciiTheme="minorHAnsi" w:hAnsiTheme="minorHAnsi"/>
                <w:bCs/>
              </w:rPr>
            </w:pPr>
            <w:proofErr w:type="spellStart"/>
            <w:r w:rsidRPr="00326307">
              <w:rPr>
                <w:rFonts w:asciiTheme="minorHAnsi" w:hAnsiTheme="minorHAnsi"/>
                <w:bCs/>
              </w:rPr>
              <w:t>Dräger</w:t>
            </w:r>
            <w:proofErr w:type="spellEnd"/>
            <w:r w:rsidRPr="00326307">
              <w:rPr>
                <w:rFonts w:asciiTheme="minorHAnsi" w:hAnsiTheme="minorHAnsi"/>
                <w:bCs/>
              </w:rPr>
              <w:t xml:space="preserve"> Chomutov s.r.o.</w:t>
            </w:r>
          </w:p>
        </w:tc>
        <w:tc>
          <w:tcPr>
            <w:tcW w:w="6967" w:type="dxa"/>
            <w:gridSpan w:val="4"/>
            <w:vAlign w:val="center"/>
            <w:hideMark/>
          </w:tcPr>
          <w:p w:rsidR="00157BAE" w:rsidRPr="00326307" w:rsidRDefault="00850933" w:rsidP="0046736F">
            <w:pPr>
              <w:rPr>
                <w:rFonts w:asciiTheme="minorHAnsi" w:hAnsiTheme="minorHAnsi"/>
              </w:rPr>
            </w:pPr>
            <w:r w:rsidRPr="00326307">
              <w:rPr>
                <w:rFonts w:asciiTheme="minorHAnsi" w:hAnsiTheme="minorHAnsi"/>
                <w:bCs/>
              </w:rPr>
              <w:t>Zaměstnavatel neuvedl žádné specifické požadavky na uchazeče.</w:t>
            </w:r>
          </w:p>
        </w:tc>
      </w:tr>
      <w:tr w:rsidR="00634DC3" w:rsidRPr="00326307" w:rsidTr="00C86138">
        <w:trPr>
          <w:trHeight w:val="246"/>
        </w:trPr>
        <w:tc>
          <w:tcPr>
            <w:tcW w:w="2887" w:type="dxa"/>
            <w:shd w:val="clear" w:color="auto" w:fill="FFCCCC"/>
            <w:vAlign w:val="center"/>
            <w:hideMark/>
          </w:tcPr>
          <w:p w:rsidR="00157BAE" w:rsidRPr="00326307" w:rsidRDefault="00157BAE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26307">
              <w:rPr>
                <w:rFonts w:asciiTheme="minorHAnsi" w:hAnsiTheme="minorHAnsi"/>
                <w:b/>
                <w:bCs/>
              </w:rPr>
              <w:t>Název zaměstnavatele s očekávaným nejvyšším počtem propouštěných zaměstnanců</w:t>
            </w:r>
          </w:p>
        </w:tc>
        <w:tc>
          <w:tcPr>
            <w:tcW w:w="1049" w:type="dxa"/>
            <w:shd w:val="clear" w:color="auto" w:fill="FFCCCC"/>
            <w:vAlign w:val="center"/>
            <w:hideMark/>
          </w:tcPr>
          <w:p w:rsidR="00157BAE" w:rsidRPr="00326307" w:rsidRDefault="00157BAE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26307">
              <w:rPr>
                <w:rFonts w:asciiTheme="minorHAnsi" w:hAnsiTheme="minorHAnsi"/>
                <w:b/>
                <w:bCs/>
              </w:rPr>
              <w:t>IČ</w:t>
            </w:r>
          </w:p>
        </w:tc>
        <w:tc>
          <w:tcPr>
            <w:tcW w:w="1417" w:type="dxa"/>
            <w:shd w:val="clear" w:color="auto" w:fill="FFCCCC"/>
            <w:vAlign w:val="center"/>
            <w:hideMark/>
          </w:tcPr>
          <w:p w:rsidR="00157BAE" w:rsidRPr="00326307" w:rsidRDefault="00157BAE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26307">
              <w:rPr>
                <w:rFonts w:asciiTheme="minorHAnsi" w:hAnsiTheme="minorHAnsi"/>
                <w:b/>
                <w:bCs/>
              </w:rPr>
              <w:t>Obec, město</w:t>
            </w:r>
          </w:p>
        </w:tc>
        <w:tc>
          <w:tcPr>
            <w:tcW w:w="3402" w:type="dxa"/>
            <w:shd w:val="clear" w:color="auto" w:fill="FFCCCC"/>
            <w:vAlign w:val="center"/>
            <w:hideMark/>
          </w:tcPr>
          <w:p w:rsidR="00157BAE" w:rsidRPr="00326307" w:rsidRDefault="00157BAE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26307">
              <w:rPr>
                <w:rFonts w:asciiTheme="minorHAnsi" w:hAnsiTheme="minorHAnsi"/>
                <w:b/>
                <w:bCs/>
              </w:rPr>
              <w:t>Obor činnosti (CZ-NACE kód + název)</w:t>
            </w:r>
          </w:p>
        </w:tc>
        <w:tc>
          <w:tcPr>
            <w:tcW w:w="1099" w:type="dxa"/>
            <w:shd w:val="clear" w:color="auto" w:fill="FFCCCC"/>
            <w:vAlign w:val="center"/>
            <w:hideMark/>
          </w:tcPr>
          <w:p w:rsidR="00157BAE" w:rsidRPr="00326307" w:rsidRDefault="00157BAE" w:rsidP="00157BAE">
            <w:pPr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326307">
              <w:rPr>
                <w:rFonts w:asciiTheme="minorHAnsi" w:hAnsiTheme="minorHAnsi"/>
                <w:b/>
                <w:bCs/>
              </w:rPr>
              <w:t>Předpokl</w:t>
            </w:r>
            <w:proofErr w:type="spellEnd"/>
            <w:r w:rsidRPr="00326307">
              <w:rPr>
                <w:rFonts w:asciiTheme="minorHAnsi" w:hAnsiTheme="minorHAnsi"/>
                <w:b/>
                <w:bCs/>
              </w:rPr>
              <w:t>. pokles celkem</w:t>
            </w:r>
          </w:p>
        </w:tc>
      </w:tr>
      <w:tr w:rsidR="00634DC3" w:rsidRPr="00326307" w:rsidTr="0066354A">
        <w:trPr>
          <w:trHeight w:val="137"/>
        </w:trPr>
        <w:tc>
          <w:tcPr>
            <w:tcW w:w="2887" w:type="dxa"/>
            <w:vAlign w:val="center"/>
          </w:tcPr>
          <w:p w:rsidR="00157BAE" w:rsidRPr="00326307" w:rsidRDefault="0066354A" w:rsidP="00AF34F4">
            <w:pPr>
              <w:rPr>
                <w:rFonts w:asciiTheme="minorHAnsi" w:hAnsiTheme="minorHAnsi"/>
                <w:bCs/>
              </w:rPr>
            </w:pPr>
            <w:r w:rsidRPr="00326307">
              <w:rPr>
                <w:rFonts w:asciiTheme="minorHAnsi" w:hAnsiTheme="minorHAnsi"/>
                <w:bCs/>
              </w:rPr>
              <w:t>Žádný takový zaměstnavatel nebyl v </w:t>
            </w:r>
            <w:r w:rsidR="00AF34F4" w:rsidRPr="00326307">
              <w:rPr>
                <w:rFonts w:asciiTheme="minorHAnsi" w:hAnsiTheme="minorHAnsi"/>
                <w:bCs/>
              </w:rPr>
              <w:t>červnu</w:t>
            </w:r>
            <w:r w:rsidRPr="00326307">
              <w:rPr>
                <w:rFonts w:asciiTheme="minorHAnsi" w:hAnsiTheme="minorHAnsi"/>
                <w:bCs/>
              </w:rPr>
              <w:t xml:space="preserve"> nahlášen.</w:t>
            </w:r>
          </w:p>
        </w:tc>
        <w:tc>
          <w:tcPr>
            <w:tcW w:w="1049" w:type="dxa"/>
            <w:vAlign w:val="center"/>
          </w:tcPr>
          <w:p w:rsidR="00157BAE" w:rsidRPr="00326307" w:rsidRDefault="00157BAE" w:rsidP="00D55B1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157BAE" w:rsidRPr="00326307" w:rsidRDefault="00157BAE" w:rsidP="00D55B1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:rsidR="00157BAE" w:rsidRPr="00326307" w:rsidRDefault="00157BAE" w:rsidP="003B3AC5">
            <w:pPr>
              <w:rPr>
                <w:rFonts w:asciiTheme="minorHAnsi" w:hAnsiTheme="minorHAnsi"/>
              </w:rPr>
            </w:pPr>
          </w:p>
        </w:tc>
        <w:tc>
          <w:tcPr>
            <w:tcW w:w="1099" w:type="dxa"/>
            <w:vAlign w:val="center"/>
          </w:tcPr>
          <w:p w:rsidR="00157BAE" w:rsidRPr="00326307" w:rsidRDefault="00157BAE" w:rsidP="00D55B10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E4382D" w:rsidRPr="00326307" w:rsidRDefault="00E4382D" w:rsidP="0016491C">
      <w:pPr>
        <w:spacing w:after="0" w:line="240" w:lineRule="auto"/>
        <w:rPr>
          <w:lang w:eastAsia="cs-CZ"/>
        </w:rPr>
      </w:pPr>
    </w:p>
    <w:p w:rsidR="002876E8" w:rsidRPr="003F1DC7" w:rsidRDefault="005E0D71" w:rsidP="00D070BE">
      <w:pPr>
        <w:spacing w:after="0" w:line="240" w:lineRule="auto"/>
        <w:ind w:firstLine="708"/>
        <w:jc w:val="both"/>
        <w:rPr>
          <w:lang w:eastAsia="cs-CZ"/>
        </w:rPr>
      </w:pPr>
      <w:r w:rsidRPr="00326307">
        <w:rPr>
          <w:lang w:eastAsia="cs-CZ"/>
        </w:rPr>
        <w:t xml:space="preserve">V současné době </w:t>
      </w:r>
      <w:r w:rsidR="00F31AC7" w:rsidRPr="00326307">
        <w:rPr>
          <w:lang w:eastAsia="cs-CZ"/>
        </w:rPr>
        <w:t>zatím stále nelze</w:t>
      </w:r>
      <w:r w:rsidRPr="00326307">
        <w:rPr>
          <w:lang w:eastAsia="cs-CZ"/>
        </w:rPr>
        <w:t xml:space="preserve"> předpokládat, že by v horizontu 1 roku došlo k výraznému zlep</w:t>
      </w:r>
      <w:r w:rsidR="008A4CA1" w:rsidRPr="00326307">
        <w:rPr>
          <w:lang w:eastAsia="cs-CZ"/>
        </w:rPr>
        <w:t>šení situace v</w:t>
      </w:r>
      <w:r w:rsidR="00A06589" w:rsidRPr="00326307">
        <w:rPr>
          <w:lang w:eastAsia="cs-CZ"/>
        </w:rPr>
        <w:t xml:space="preserve"> zaměstnanosti či </w:t>
      </w:r>
      <w:r w:rsidR="008A4CA1" w:rsidRPr="00326307">
        <w:rPr>
          <w:lang w:eastAsia="cs-CZ"/>
        </w:rPr>
        <w:t>nezaměstnanosti.</w:t>
      </w:r>
      <w:r w:rsidR="00086461" w:rsidRPr="00326307">
        <w:rPr>
          <w:lang w:eastAsia="cs-CZ"/>
        </w:rPr>
        <w:t xml:space="preserve"> </w:t>
      </w:r>
      <w:r w:rsidR="00F3603D" w:rsidRPr="00326307">
        <w:rPr>
          <w:lang w:eastAsia="cs-CZ"/>
        </w:rPr>
        <w:t xml:space="preserve">Poslední signály </w:t>
      </w:r>
      <w:r w:rsidR="00A06589" w:rsidRPr="00326307">
        <w:rPr>
          <w:lang w:eastAsia="cs-CZ"/>
        </w:rPr>
        <w:t xml:space="preserve">napovídají, že ke zlepšování dochází, neboť po </w:t>
      </w:r>
      <w:r w:rsidR="00A06589" w:rsidRPr="003F1DC7">
        <w:rPr>
          <w:lang w:eastAsia="cs-CZ"/>
        </w:rPr>
        <w:t xml:space="preserve">dlouhé době </w:t>
      </w:r>
      <w:r w:rsidR="00EB1C34" w:rsidRPr="003F1DC7">
        <w:rPr>
          <w:lang w:eastAsia="cs-CZ"/>
        </w:rPr>
        <w:t>vychází</w:t>
      </w:r>
      <w:r w:rsidR="00A06589" w:rsidRPr="003F1DC7">
        <w:rPr>
          <w:lang w:eastAsia="cs-CZ"/>
        </w:rPr>
        <w:t xml:space="preserve"> Ústecký kraj v meziročním srovnání </w:t>
      </w:r>
      <w:r w:rsidR="00EB1C34" w:rsidRPr="003F1DC7">
        <w:rPr>
          <w:lang w:eastAsia="cs-CZ"/>
        </w:rPr>
        <w:t>pozitivně</w:t>
      </w:r>
      <w:r w:rsidR="00A06589" w:rsidRPr="003F1DC7">
        <w:rPr>
          <w:lang w:eastAsia="cs-CZ"/>
        </w:rPr>
        <w:t>, ale</w:t>
      </w:r>
      <w:r w:rsidR="00EB1C34" w:rsidRPr="003F1DC7">
        <w:rPr>
          <w:lang w:eastAsia="cs-CZ"/>
        </w:rPr>
        <w:t xml:space="preserve"> </w:t>
      </w:r>
      <w:r w:rsidR="00A06589" w:rsidRPr="003F1DC7">
        <w:rPr>
          <w:lang w:eastAsia="cs-CZ"/>
        </w:rPr>
        <w:t>k</w:t>
      </w:r>
      <w:r w:rsidR="00F3603D" w:rsidRPr="003F1DC7">
        <w:rPr>
          <w:lang w:eastAsia="cs-CZ"/>
        </w:rPr>
        <w:t xml:space="preserve"> </w:t>
      </w:r>
      <w:r w:rsidR="00086461" w:rsidRPr="003F1DC7">
        <w:rPr>
          <w:lang w:eastAsia="cs-CZ"/>
        </w:rPr>
        <w:t>významn</w:t>
      </w:r>
      <w:r w:rsidR="00F3603D" w:rsidRPr="003F1DC7">
        <w:rPr>
          <w:lang w:eastAsia="cs-CZ"/>
        </w:rPr>
        <w:t xml:space="preserve">ějšímu zlepšení </w:t>
      </w:r>
      <w:r w:rsidR="00A06589" w:rsidRPr="003F1DC7">
        <w:rPr>
          <w:lang w:eastAsia="cs-CZ"/>
        </w:rPr>
        <w:t xml:space="preserve">situace </w:t>
      </w:r>
      <w:r w:rsidR="007E135D" w:rsidRPr="003F1DC7">
        <w:rPr>
          <w:lang w:eastAsia="cs-CZ"/>
        </w:rPr>
        <w:t>může dojít až s globálním oživením ekonomiky, které na</w:t>
      </w:r>
      <w:r w:rsidR="00EB1C34" w:rsidRPr="003F1DC7">
        <w:rPr>
          <w:lang w:eastAsia="cs-CZ"/>
        </w:rPr>
        <w:t xml:space="preserve"> sebe naváže růst objemu výroby</w:t>
      </w:r>
      <w:r w:rsidR="00EB1C34" w:rsidRPr="003F1DC7">
        <w:rPr>
          <w:lang w:eastAsia="cs-CZ"/>
        </w:rPr>
        <w:br/>
      </w:r>
      <w:r w:rsidR="007E135D" w:rsidRPr="003F1DC7">
        <w:rPr>
          <w:lang w:eastAsia="cs-CZ"/>
        </w:rPr>
        <w:t>a vytváření nových pracovních míst.</w:t>
      </w:r>
    </w:p>
    <w:p w:rsidR="0046736F" w:rsidRPr="003F1DC7" w:rsidRDefault="0046736F" w:rsidP="0046736F">
      <w:pPr>
        <w:spacing w:after="0" w:line="240" w:lineRule="auto"/>
        <w:jc w:val="both"/>
        <w:rPr>
          <w:lang w:eastAsia="cs-CZ"/>
        </w:rPr>
      </w:pPr>
    </w:p>
    <w:p w:rsidR="00E4382D" w:rsidRPr="003F1DC7" w:rsidRDefault="00E4382D" w:rsidP="00E4382D">
      <w:pPr>
        <w:pStyle w:val="Nadpis1"/>
        <w:rPr>
          <w:b/>
          <w:szCs w:val="22"/>
        </w:rPr>
      </w:pPr>
      <w:bookmarkStart w:id="3" w:name="_Toc393271593"/>
      <w:r w:rsidRPr="003F1DC7">
        <w:rPr>
          <w:b/>
          <w:szCs w:val="22"/>
        </w:rPr>
        <w:lastRenderedPageBreak/>
        <w:t>4. REALIZACE AKTIVNÍ POLITIKY ZAMĚSTNANOSTI V ÚSTECKÉM KRAJI</w:t>
      </w:r>
      <w:bookmarkEnd w:id="3"/>
    </w:p>
    <w:p w:rsidR="00E4382D" w:rsidRPr="003F1DC7" w:rsidRDefault="00E4382D" w:rsidP="0016491C">
      <w:pPr>
        <w:spacing w:after="0" w:line="240" w:lineRule="auto"/>
        <w:rPr>
          <w:lang w:eastAsia="cs-CZ"/>
        </w:rPr>
      </w:pPr>
    </w:p>
    <w:p w:rsidR="005A44FE" w:rsidRPr="003F1DC7" w:rsidRDefault="002876E8" w:rsidP="0016491C">
      <w:pPr>
        <w:spacing w:after="0" w:line="240" w:lineRule="auto"/>
        <w:rPr>
          <w:lang w:eastAsia="cs-CZ"/>
        </w:rPr>
      </w:pPr>
      <w:r w:rsidRPr="003F1DC7">
        <w:rPr>
          <w:lang w:eastAsia="cs-CZ"/>
        </w:rPr>
        <w:t>Tabulka č. 5</w:t>
      </w:r>
      <w:r w:rsidR="005A44FE" w:rsidRPr="003F1DC7">
        <w:rPr>
          <w:lang w:eastAsia="cs-CZ"/>
        </w:rPr>
        <w:t xml:space="preserve"> - Pracovní místa podpořená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BE7C1B" w:rsidRPr="003F1DC7" w:rsidTr="004401D3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C53961" w:rsidRPr="003F1DC7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C53961" w:rsidRPr="003F1DC7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b/>
                <w:sz w:val="20"/>
                <w:szCs w:val="20"/>
                <w:lang w:eastAsia="cs-CZ"/>
              </w:rPr>
              <w:t>Aktuální stav k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C53961" w:rsidRPr="003F1DC7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b/>
                <w:sz w:val="20"/>
                <w:szCs w:val="20"/>
                <w:lang w:eastAsia="cs-CZ"/>
              </w:rPr>
              <w:t>Od počátku roku</w:t>
            </w:r>
          </w:p>
        </w:tc>
      </w:tr>
      <w:tr w:rsidR="00BE7C1B" w:rsidRPr="003F1DC7" w:rsidTr="004401D3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C53961" w:rsidRPr="003F1DC7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C53961" w:rsidRPr="003F1DC7" w:rsidRDefault="00102A3F" w:rsidP="00982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z w:val="20"/>
                <w:szCs w:val="20"/>
                <w:lang w:eastAsia="cs-CZ"/>
              </w:rPr>
              <w:t>30. 6</w:t>
            </w:r>
            <w:r w:rsidR="00E61AF8" w:rsidRPr="003F1DC7">
              <w:rPr>
                <w:rFonts w:eastAsia="Times New Roman" w:cs="Arial"/>
                <w:sz w:val="20"/>
                <w:szCs w:val="20"/>
                <w:lang w:eastAsia="cs-CZ"/>
              </w:rPr>
              <w:t>. 2013</w:t>
            </w:r>
          </w:p>
        </w:tc>
        <w:tc>
          <w:tcPr>
            <w:tcW w:w="1276" w:type="dxa"/>
            <w:shd w:val="clear" w:color="auto" w:fill="FFFFCC"/>
          </w:tcPr>
          <w:p w:rsidR="00C53961" w:rsidRPr="003F1DC7" w:rsidRDefault="00102A3F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z w:val="20"/>
                <w:szCs w:val="20"/>
                <w:lang w:eastAsia="cs-CZ"/>
              </w:rPr>
              <w:t>30. 6</w:t>
            </w:r>
            <w:r w:rsidR="00E61AF8" w:rsidRPr="003F1DC7">
              <w:rPr>
                <w:rFonts w:eastAsia="Times New Roman" w:cs="Arial"/>
                <w:sz w:val="20"/>
                <w:szCs w:val="20"/>
                <w:lang w:eastAsia="cs-CZ"/>
              </w:rPr>
              <w:t>. 2014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3F1DC7" w:rsidRDefault="00E61AF8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3F1DC7" w:rsidRDefault="00E61AF8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2014</w:t>
            </w:r>
          </w:p>
        </w:tc>
      </w:tr>
      <w:tr w:rsidR="00BE7C1B" w:rsidRPr="003F1DC7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C53961" w:rsidRPr="003F1DC7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b/>
                <w:sz w:val="20"/>
                <w:szCs w:val="20"/>
                <w:lang w:eastAsia="cs-CZ"/>
              </w:rPr>
              <w:t>P</w:t>
            </w:r>
            <w:r w:rsidR="00C53961" w:rsidRPr="003F1DC7">
              <w:rPr>
                <w:rFonts w:eastAsia="Times New Roman" w:cs="Arial"/>
                <w:b/>
                <w:sz w:val="20"/>
                <w:szCs w:val="20"/>
                <w:lang w:eastAsia="cs-CZ"/>
              </w:rPr>
              <w:t>racovní místa podpořená v rámci APZ</w:t>
            </w:r>
          </w:p>
        </w:tc>
      </w:tr>
      <w:tr w:rsidR="00BE7C1B" w:rsidRPr="003F1DC7" w:rsidTr="008A657F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C53961" w:rsidRPr="003F1DC7" w:rsidRDefault="0044273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</w:t>
            </w:r>
            <w:r w:rsidR="00C53961"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eřejně prospěšné práce (VPP)</w:t>
            </w:r>
          </w:p>
        </w:tc>
        <w:tc>
          <w:tcPr>
            <w:tcW w:w="1275" w:type="dxa"/>
            <w:vAlign w:val="center"/>
          </w:tcPr>
          <w:p w:rsidR="00C53961" w:rsidRPr="003F1DC7" w:rsidRDefault="00102A3F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763</w:t>
            </w:r>
          </w:p>
        </w:tc>
        <w:tc>
          <w:tcPr>
            <w:tcW w:w="1276" w:type="dxa"/>
            <w:vAlign w:val="center"/>
          </w:tcPr>
          <w:p w:rsidR="00C53961" w:rsidRPr="003F1DC7" w:rsidRDefault="00102A3F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1 316</w:t>
            </w:r>
          </w:p>
        </w:tc>
        <w:tc>
          <w:tcPr>
            <w:tcW w:w="1276" w:type="dxa"/>
            <w:vAlign w:val="center"/>
          </w:tcPr>
          <w:p w:rsidR="00C53961" w:rsidRPr="003F1DC7" w:rsidRDefault="00102A3F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656</w:t>
            </w:r>
          </w:p>
        </w:tc>
        <w:tc>
          <w:tcPr>
            <w:tcW w:w="1276" w:type="dxa"/>
            <w:vAlign w:val="center"/>
          </w:tcPr>
          <w:p w:rsidR="00C53961" w:rsidRPr="003F1DC7" w:rsidRDefault="00102A3F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1 126</w:t>
            </w:r>
          </w:p>
        </w:tc>
      </w:tr>
      <w:tr w:rsidR="00BE7C1B" w:rsidRPr="003F1DC7" w:rsidTr="008A657F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C53961" w:rsidRPr="003F1DC7" w:rsidRDefault="0044273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</w:t>
            </w:r>
            <w:r w:rsidR="00C53961"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ESF</w:t>
            </w: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OP LZZ - VPP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3961" w:rsidRPr="003F1DC7" w:rsidRDefault="00102A3F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1 868</w:t>
            </w:r>
          </w:p>
        </w:tc>
        <w:tc>
          <w:tcPr>
            <w:tcW w:w="1276" w:type="dxa"/>
            <w:vAlign w:val="center"/>
          </w:tcPr>
          <w:p w:rsidR="00C53961" w:rsidRPr="003F1DC7" w:rsidRDefault="00102A3F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1 594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961" w:rsidRPr="003F1DC7" w:rsidRDefault="00102A3F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1 307</w:t>
            </w:r>
          </w:p>
        </w:tc>
        <w:tc>
          <w:tcPr>
            <w:tcW w:w="1276" w:type="dxa"/>
            <w:vAlign w:val="center"/>
          </w:tcPr>
          <w:p w:rsidR="00C53961" w:rsidRPr="003F1DC7" w:rsidRDefault="00102A3F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1 303</w:t>
            </w:r>
          </w:p>
        </w:tc>
      </w:tr>
      <w:tr w:rsidR="00BE7C1B" w:rsidRPr="003F1DC7" w:rsidTr="008A657F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42732" w:rsidRPr="003F1DC7" w:rsidRDefault="0044273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</w:t>
            </w:r>
            <w:r w:rsidR="00C53961"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polečensky účelná prac</w:t>
            </w: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ovní</w:t>
            </w:r>
            <w:r w:rsidR="00C53961"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místa (SÚPM)</w:t>
            </w:r>
          </w:p>
          <w:p w:rsidR="00C53961" w:rsidRPr="003F1DC7" w:rsidRDefault="0044273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zřízená i vyhrazená místa</w:t>
            </w:r>
          </w:p>
        </w:tc>
        <w:tc>
          <w:tcPr>
            <w:tcW w:w="1275" w:type="dxa"/>
            <w:vAlign w:val="center"/>
          </w:tcPr>
          <w:p w:rsidR="00C53961" w:rsidRPr="003F1DC7" w:rsidRDefault="00102A3F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1276" w:type="dxa"/>
            <w:vAlign w:val="center"/>
          </w:tcPr>
          <w:p w:rsidR="00C53961" w:rsidRPr="003F1DC7" w:rsidRDefault="00102A3F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982</w:t>
            </w:r>
          </w:p>
        </w:tc>
        <w:tc>
          <w:tcPr>
            <w:tcW w:w="1276" w:type="dxa"/>
            <w:vAlign w:val="center"/>
          </w:tcPr>
          <w:p w:rsidR="00C53961" w:rsidRPr="003F1DC7" w:rsidRDefault="00102A3F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276" w:type="dxa"/>
            <w:vAlign w:val="center"/>
          </w:tcPr>
          <w:p w:rsidR="00C53961" w:rsidRPr="003F1DC7" w:rsidRDefault="00102A3F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522</w:t>
            </w:r>
          </w:p>
        </w:tc>
      </w:tr>
      <w:tr w:rsidR="00BE7C1B" w:rsidRPr="003F1DC7" w:rsidTr="008A657F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C53961" w:rsidRPr="003F1DC7" w:rsidRDefault="00442732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</w:t>
            </w:r>
            <w:r w:rsidR="00C53961"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ESF</w:t>
            </w: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OP LZZ - SÚPM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3961" w:rsidRPr="003F1DC7" w:rsidRDefault="00102A3F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1276" w:type="dxa"/>
            <w:vAlign w:val="center"/>
          </w:tcPr>
          <w:p w:rsidR="00C53961" w:rsidRPr="003F1DC7" w:rsidRDefault="00102A3F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1 472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961" w:rsidRPr="003F1DC7" w:rsidRDefault="00102A3F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1276" w:type="dxa"/>
            <w:vAlign w:val="center"/>
          </w:tcPr>
          <w:p w:rsidR="00C53961" w:rsidRPr="003F1DC7" w:rsidRDefault="00102A3F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1 120</w:t>
            </w:r>
          </w:p>
        </w:tc>
      </w:tr>
      <w:tr w:rsidR="00BE7C1B" w:rsidRPr="003F1DC7" w:rsidTr="008A657F">
        <w:trPr>
          <w:cantSplit/>
          <w:jc w:val="center"/>
        </w:trPr>
        <w:tc>
          <w:tcPr>
            <w:tcW w:w="4642" w:type="dxa"/>
            <w:shd w:val="clear" w:color="auto" w:fill="FFFFCC"/>
            <w:vAlign w:val="center"/>
          </w:tcPr>
          <w:p w:rsidR="00C53961" w:rsidRPr="003F1DC7" w:rsidRDefault="0044273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 - samostatně výdělečná</w:t>
            </w:r>
            <w:r w:rsidR="00C53961"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činnost (SVČ)</w:t>
            </w:r>
          </w:p>
        </w:tc>
        <w:tc>
          <w:tcPr>
            <w:tcW w:w="1275" w:type="dxa"/>
            <w:vAlign w:val="center"/>
          </w:tcPr>
          <w:p w:rsidR="00C53961" w:rsidRPr="003F1DC7" w:rsidRDefault="00EA2D5D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1276" w:type="dxa"/>
            <w:vAlign w:val="center"/>
          </w:tcPr>
          <w:p w:rsidR="00C53961" w:rsidRPr="003F1DC7" w:rsidRDefault="00102A3F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284</w:t>
            </w:r>
          </w:p>
        </w:tc>
        <w:tc>
          <w:tcPr>
            <w:tcW w:w="1276" w:type="dxa"/>
            <w:vAlign w:val="center"/>
          </w:tcPr>
          <w:p w:rsidR="00C53961" w:rsidRPr="003F1DC7" w:rsidRDefault="00EA2D5D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276" w:type="dxa"/>
            <w:vAlign w:val="center"/>
          </w:tcPr>
          <w:p w:rsidR="00C53961" w:rsidRPr="003F1DC7" w:rsidRDefault="00102A3F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95</w:t>
            </w:r>
          </w:p>
        </w:tc>
      </w:tr>
      <w:tr w:rsidR="00BE7C1B" w:rsidRPr="003F1DC7" w:rsidTr="008A657F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401D3" w:rsidRPr="003F1DC7" w:rsidRDefault="0044273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</w:t>
            </w:r>
            <w:r w:rsidR="00C53961"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hrán</w:t>
            </w: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ěná</w:t>
            </w:r>
            <w:r w:rsidR="00C53961"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prac</w:t>
            </w: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ovní</w:t>
            </w:r>
            <w:r w:rsidR="00C53961"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místa</w:t>
            </w: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(CHPM), CHPM - SVČ,</w:t>
            </w:r>
          </w:p>
          <w:p w:rsidR="00C53961" w:rsidRPr="003F1DC7" w:rsidRDefault="0044273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 - SVČ provoz</w:t>
            </w:r>
          </w:p>
        </w:tc>
        <w:tc>
          <w:tcPr>
            <w:tcW w:w="1275" w:type="dxa"/>
            <w:vAlign w:val="center"/>
          </w:tcPr>
          <w:p w:rsidR="00C53961" w:rsidRPr="003F1DC7" w:rsidRDefault="00EA2D5D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277</w:t>
            </w:r>
          </w:p>
        </w:tc>
        <w:tc>
          <w:tcPr>
            <w:tcW w:w="1276" w:type="dxa"/>
            <w:vAlign w:val="center"/>
          </w:tcPr>
          <w:p w:rsidR="00C53961" w:rsidRPr="003F1DC7" w:rsidRDefault="00EA2D5D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319</w:t>
            </w:r>
          </w:p>
        </w:tc>
        <w:tc>
          <w:tcPr>
            <w:tcW w:w="1276" w:type="dxa"/>
            <w:vAlign w:val="center"/>
          </w:tcPr>
          <w:p w:rsidR="00C53961" w:rsidRPr="003F1DC7" w:rsidRDefault="00EA2D5D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276" w:type="dxa"/>
            <w:vAlign w:val="center"/>
          </w:tcPr>
          <w:p w:rsidR="00C53961" w:rsidRPr="003F1DC7" w:rsidRDefault="00EA2D5D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55</w:t>
            </w:r>
          </w:p>
        </w:tc>
      </w:tr>
      <w:tr w:rsidR="00BE7C1B" w:rsidRPr="003F1DC7" w:rsidTr="008A657F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4D710E" w:rsidRPr="003F1DC7" w:rsidRDefault="004D710E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F1DC7">
              <w:rPr>
                <w:snapToGrid w:val="0"/>
                <w:sz w:val="20"/>
                <w:szCs w:val="20"/>
              </w:rPr>
              <w:t xml:space="preserve">Projekty ESF OP LZZ - cílené programy </w:t>
            </w:r>
          </w:p>
        </w:tc>
        <w:tc>
          <w:tcPr>
            <w:tcW w:w="1275" w:type="dxa"/>
            <w:vAlign w:val="center"/>
          </w:tcPr>
          <w:p w:rsidR="004D710E" w:rsidRPr="003F1DC7" w:rsidRDefault="00716918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76" w:type="dxa"/>
            <w:vAlign w:val="center"/>
          </w:tcPr>
          <w:p w:rsidR="004D710E" w:rsidRPr="003F1DC7" w:rsidRDefault="00EA2D5D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590</w:t>
            </w:r>
          </w:p>
        </w:tc>
        <w:tc>
          <w:tcPr>
            <w:tcW w:w="1276" w:type="dxa"/>
            <w:vAlign w:val="center"/>
          </w:tcPr>
          <w:p w:rsidR="004D710E" w:rsidRPr="003F1DC7" w:rsidRDefault="00716918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76" w:type="dxa"/>
            <w:vAlign w:val="center"/>
          </w:tcPr>
          <w:p w:rsidR="004D710E" w:rsidRPr="003F1DC7" w:rsidRDefault="00EA2D5D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283</w:t>
            </w:r>
          </w:p>
        </w:tc>
      </w:tr>
      <w:tr w:rsidR="00BE7C1B" w:rsidRPr="003F1DC7" w:rsidTr="008A657F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4D710E" w:rsidRPr="003F1DC7" w:rsidRDefault="004D710E" w:rsidP="004401D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3F1DC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Projekty ESF OP LZZ - Odborná praxe mladých do 30 let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vAlign w:val="center"/>
          </w:tcPr>
          <w:p w:rsidR="004D710E" w:rsidRPr="003F1DC7" w:rsidRDefault="00716918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76" w:type="dxa"/>
            <w:vAlign w:val="center"/>
          </w:tcPr>
          <w:p w:rsidR="004D710E" w:rsidRPr="003F1DC7" w:rsidRDefault="00EA2D5D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825</w:t>
            </w:r>
          </w:p>
        </w:tc>
        <w:tc>
          <w:tcPr>
            <w:tcW w:w="1276" w:type="dxa"/>
            <w:vAlign w:val="center"/>
          </w:tcPr>
          <w:p w:rsidR="004D710E" w:rsidRPr="003F1DC7" w:rsidRDefault="00716918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76" w:type="dxa"/>
            <w:vAlign w:val="center"/>
          </w:tcPr>
          <w:p w:rsidR="004D710E" w:rsidRPr="003F1DC7" w:rsidRDefault="00EA2D5D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652</w:t>
            </w:r>
          </w:p>
        </w:tc>
      </w:tr>
      <w:tr w:rsidR="00BE7C1B" w:rsidRPr="003F1DC7" w:rsidTr="008A657F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4D710E" w:rsidRPr="003F1DC7" w:rsidRDefault="004D710E" w:rsidP="004401D3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F1DC7">
              <w:rPr>
                <w:snapToGrid w:val="0"/>
                <w:sz w:val="20"/>
                <w:szCs w:val="20"/>
              </w:rPr>
              <w:t>Ostatní nástroje APZ</w:t>
            </w:r>
          </w:p>
        </w:tc>
        <w:tc>
          <w:tcPr>
            <w:tcW w:w="1275" w:type="dxa"/>
            <w:vAlign w:val="center"/>
          </w:tcPr>
          <w:p w:rsidR="004D710E" w:rsidRPr="003F1DC7" w:rsidRDefault="003F1DC7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6" w:type="dxa"/>
            <w:vAlign w:val="center"/>
          </w:tcPr>
          <w:p w:rsidR="004D710E" w:rsidRPr="003F1DC7" w:rsidRDefault="003F1DC7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276" w:type="dxa"/>
            <w:vAlign w:val="center"/>
          </w:tcPr>
          <w:p w:rsidR="004D710E" w:rsidRPr="003F1DC7" w:rsidRDefault="003F1DC7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6" w:type="dxa"/>
            <w:vAlign w:val="center"/>
          </w:tcPr>
          <w:p w:rsidR="004D710E" w:rsidRPr="003F1DC7" w:rsidRDefault="003F1DC7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34</w:t>
            </w:r>
          </w:p>
        </w:tc>
      </w:tr>
      <w:tr w:rsidR="00BE7C1B" w:rsidRPr="003F1DC7" w:rsidTr="008A657F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C53961" w:rsidRPr="003F1DC7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P</w:t>
            </w:r>
            <w:r w:rsidR="00C53961" w:rsidRPr="003F1DC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racovní místa podpořená v rámci APZ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C53961" w:rsidRPr="003F1DC7" w:rsidRDefault="003F1DC7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4 123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3F1DC7" w:rsidRDefault="003F1DC7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7 419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3F1DC7" w:rsidRDefault="003F1DC7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2 838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3F1DC7" w:rsidRDefault="003F1DC7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5 190</w:t>
            </w:r>
          </w:p>
        </w:tc>
      </w:tr>
      <w:tr w:rsidR="00BE7C1B" w:rsidRPr="003F1DC7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auto"/>
          </w:tcPr>
          <w:p w:rsidR="00C53961" w:rsidRPr="003F1DC7" w:rsidRDefault="005A44F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b/>
                <w:sz w:val="20"/>
                <w:szCs w:val="20"/>
                <w:lang w:eastAsia="cs-CZ"/>
              </w:rPr>
              <w:t>R</w:t>
            </w:r>
            <w:r w:rsidR="00C53961" w:rsidRPr="003F1DC7">
              <w:rPr>
                <w:rFonts w:eastAsia="Times New Roman" w:cs="Arial"/>
                <w:b/>
                <w:sz w:val="20"/>
                <w:szCs w:val="20"/>
                <w:lang w:eastAsia="cs-CZ"/>
              </w:rPr>
              <w:t>ekvalifikace uchazečů a zájemců o zaměstnání</w:t>
            </w:r>
          </w:p>
        </w:tc>
      </w:tr>
      <w:tr w:rsidR="00BE7C1B" w:rsidRPr="003F1DC7" w:rsidTr="004401D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C53961" w:rsidRPr="003F1DC7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</w:t>
            </w:r>
            <w:r w:rsidR="00C53961"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chazeči a zájemci zařazení do rekvalifikací vč. ESF</w:t>
            </w:r>
          </w:p>
        </w:tc>
        <w:tc>
          <w:tcPr>
            <w:tcW w:w="1275" w:type="dxa"/>
            <w:vAlign w:val="center"/>
          </w:tcPr>
          <w:p w:rsidR="00C53961" w:rsidRPr="003F1DC7" w:rsidRDefault="003F1DC7" w:rsidP="004401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276" w:type="dxa"/>
            <w:vAlign w:val="center"/>
          </w:tcPr>
          <w:p w:rsidR="00FF4351" w:rsidRPr="003F1DC7" w:rsidRDefault="003F1DC7" w:rsidP="004D710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1276" w:type="dxa"/>
            <w:vAlign w:val="center"/>
          </w:tcPr>
          <w:p w:rsidR="00C53961" w:rsidRPr="003F1DC7" w:rsidRDefault="003F1DC7" w:rsidP="004401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</w:t>
            </w:r>
            <w:r w:rsidR="00716918"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276" w:type="dxa"/>
            <w:vAlign w:val="center"/>
          </w:tcPr>
          <w:p w:rsidR="00C53961" w:rsidRPr="003F1DC7" w:rsidRDefault="003F1DC7" w:rsidP="004401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803</w:t>
            </w:r>
          </w:p>
        </w:tc>
      </w:tr>
      <w:tr w:rsidR="00BE7C1B" w:rsidRPr="003F1DC7" w:rsidTr="004401D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401D3" w:rsidRPr="003F1DC7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</w:t>
            </w:r>
            <w:r w:rsidR="00C53961"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chazeči a zájemci, </w:t>
            </w: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kteří zahájili</w:t>
            </w:r>
          </w:p>
          <w:p w:rsidR="00C53961" w:rsidRPr="003F1DC7" w:rsidRDefault="00C5396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zvolenou rekvalifikaci vč. ESF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3961" w:rsidRPr="003F1DC7" w:rsidRDefault="003F1DC7" w:rsidP="004401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1276" w:type="dxa"/>
            <w:vAlign w:val="center"/>
          </w:tcPr>
          <w:p w:rsidR="00C53961" w:rsidRPr="003F1DC7" w:rsidRDefault="003F1DC7" w:rsidP="004401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53961" w:rsidRPr="003F1DC7" w:rsidRDefault="003F1DC7" w:rsidP="004401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796</w:t>
            </w:r>
          </w:p>
        </w:tc>
        <w:tc>
          <w:tcPr>
            <w:tcW w:w="1276" w:type="dxa"/>
            <w:vAlign w:val="center"/>
          </w:tcPr>
          <w:p w:rsidR="00C53961" w:rsidRPr="003F1DC7" w:rsidRDefault="003F1DC7" w:rsidP="004401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3F1DC7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652</w:t>
            </w:r>
          </w:p>
        </w:tc>
      </w:tr>
    </w:tbl>
    <w:p w:rsidR="00C53961" w:rsidRPr="003F1DC7" w:rsidRDefault="00C53961" w:rsidP="00436020">
      <w:pPr>
        <w:spacing w:after="0" w:line="240" w:lineRule="auto"/>
        <w:rPr>
          <w:lang w:eastAsia="cs-CZ"/>
        </w:rPr>
      </w:pPr>
    </w:p>
    <w:p w:rsidR="001417C9" w:rsidRPr="003F1DC7" w:rsidRDefault="001417C9" w:rsidP="001417C9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3F1DC7">
        <w:t xml:space="preserve">Mezi nejčastěji využívané nástroje aktivní politiky zaměstnanosti financované z národního rozpočtu i ESF patří veřejně prospěšné práce a vyhrazená společensky účelná pracovní místa. Mezi další významné nástroje patří podpora osob začínajících výkon </w:t>
      </w:r>
      <w:r w:rsidR="0080215C" w:rsidRPr="003F1DC7">
        <w:t>samostatně výdělečné činnosti</w:t>
      </w:r>
      <w:r w:rsidRPr="003F1DC7">
        <w:t xml:space="preserve"> nebo zaměst</w:t>
      </w:r>
      <w:r w:rsidR="0080215C" w:rsidRPr="003F1DC7">
        <w:t xml:space="preserve">navatelů zaměstnávajících osoby </w:t>
      </w:r>
      <w:r w:rsidRPr="003F1DC7">
        <w:t>se zdravotním postižením.</w:t>
      </w:r>
      <w:r w:rsidR="005B7582" w:rsidRPr="003F1DC7">
        <w:t xml:space="preserve"> Ostatní nástroje, jako překlenovací přísp</w:t>
      </w:r>
      <w:r w:rsidR="0080215C" w:rsidRPr="003F1DC7">
        <w:t xml:space="preserve">ěvek, příspěvek na zapracování, </w:t>
      </w:r>
      <w:r w:rsidR="005B7582" w:rsidRPr="003F1DC7">
        <w:t>při přechodu na nový podnikatelský program</w:t>
      </w:r>
      <w:r w:rsidR="00447612" w:rsidRPr="003F1DC7">
        <w:t>, aktivizační pracovn</w:t>
      </w:r>
      <w:r w:rsidR="0080215C" w:rsidRPr="003F1DC7">
        <w:t xml:space="preserve">í příležitost apod., </w:t>
      </w:r>
      <w:r w:rsidR="005B7582" w:rsidRPr="003F1DC7">
        <w:t>patří mezi doplňkové</w:t>
      </w:r>
      <w:r w:rsidR="0080215C" w:rsidRPr="003F1DC7">
        <w:t xml:space="preserve"> </w:t>
      </w:r>
      <w:r w:rsidR="005B7582" w:rsidRPr="003F1DC7">
        <w:t>a jsou využívány v omezené míře.</w:t>
      </w:r>
      <w:r w:rsidR="00D735BD" w:rsidRPr="003F1DC7">
        <w:t xml:space="preserve"> Součástí APZ jsou také rekvalifikace, u kte</w:t>
      </w:r>
      <w:r w:rsidR="0080215C" w:rsidRPr="003F1DC7">
        <w:t xml:space="preserve">rých sice nedochází k vytváření </w:t>
      </w:r>
      <w:r w:rsidR="00D735BD" w:rsidRPr="003F1DC7">
        <w:t>pracovních míst, ale ke zvyšování kvalifik</w:t>
      </w:r>
      <w:r w:rsidR="0070024D" w:rsidRPr="003F1DC7">
        <w:t>ace zařazených uchazečů/zájemců</w:t>
      </w:r>
      <w:r w:rsidR="0070024D" w:rsidRPr="003F1DC7">
        <w:br/>
      </w:r>
      <w:r w:rsidR="00D735BD" w:rsidRPr="003F1DC7">
        <w:t>o zaměstnání. Úspěšní absolventi rekvalifikačních kurzů tím zvyšují své šance na trhu práce k získání vhodného zaměstnání.</w:t>
      </w:r>
    </w:p>
    <w:p w:rsidR="00044385" w:rsidRPr="003F1DC7" w:rsidRDefault="00447612" w:rsidP="0004438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3F1DC7">
        <w:rPr>
          <w:b/>
        </w:rPr>
        <w:t>K</w:t>
      </w:r>
      <w:r w:rsidR="003F1DC7" w:rsidRPr="003F1DC7">
        <w:rPr>
          <w:b/>
        </w:rPr>
        <w:t> 30. 6</w:t>
      </w:r>
      <w:r w:rsidR="00044385" w:rsidRPr="003F1DC7">
        <w:rPr>
          <w:b/>
        </w:rPr>
        <w:t>. 2014</w:t>
      </w:r>
      <w:r w:rsidR="00044385" w:rsidRPr="003F1DC7">
        <w:t xml:space="preserve"> bylo v rámci nástrojů aktivní politiky zaměstnanosti </w:t>
      </w:r>
      <w:r w:rsidR="00044385" w:rsidRPr="003F1DC7">
        <w:rPr>
          <w:b/>
        </w:rPr>
        <w:t xml:space="preserve">vytvořeno </w:t>
      </w:r>
      <w:r w:rsidR="0070024D" w:rsidRPr="003F1DC7">
        <w:rPr>
          <w:b/>
        </w:rPr>
        <w:t xml:space="preserve">7 </w:t>
      </w:r>
      <w:r w:rsidR="003F1DC7" w:rsidRPr="003F1DC7">
        <w:rPr>
          <w:b/>
        </w:rPr>
        <w:t>419</w:t>
      </w:r>
      <w:r w:rsidR="00C86E79" w:rsidRPr="003F1DC7">
        <w:rPr>
          <w:b/>
        </w:rPr>
        <w:t xml:space="preserve"> míst</w:t>
      </w:r>
      <w:r w:rsidR="00C86E79" w:rsidRPr="003F1DC7">
        <w:rPr>
          <w:b/>
        </w:rPr>
        <w:br/>
        <w:t xml:space="preserve">a podpořeno </w:t>
      </w:r>
      <w:r w:rsidR="003F1DC7" w:rsidRPr="003F1DC7">
        <w:rPr>
          <w:b/>
        </w:rPr>
        <w:t>7 416</w:t>
      </w:r>
      <w:r w:rsidR="0070024D" w:rsidRPr="003F1DC7">
        <w:rPr>
          <w:b/>
        </w:rPr>
        <w:t xml:space="preserve"> </w:t>
      </w:r>
      <w:r w:rsidR="00044385" w:rsidRPr="003F1DC7">
        <w:rPr>
          <w:b/>
        </w:rPr>
        <w:t>osob</w:t>
      </w:r>
      <w:r w:rsidR="00044385" w:rsidRPr="003F1DC7">
        <w:t xml:space="preserve">. </w:t>
      </w:r>
      <w:r w:rsidR="00044385" w:rsidRPr="003F1DC7">
        <w:rPr>
          <w:b/>
        </w:rPr>
        <w:t>Od začátku roku</w:t>
      </w:r>
      <w:r w:rsidR="00044385" w:rsidRPr="003F1DC7">
        <w:t xml:space="preserve"> se pak jedná o </w:t>
      </w:r>
      <w:r w:rsidR="00044385" w:rsidRPr="003F1DC7">
        <w:rPr>
          <w:b/>
        </w:rPr>
        <w:t xml:space="preserve">vytvoření </w:t>
      </w:r>
      <w:r w:rsidR="003F1DC7" w:rsidRPr="003F1DC7">
        <w:rPr>
          <w:b/>
        </w:rPr>
        <w:t>5 190</w:t>
      </w:r>
      <w:r w:rsidR="00044385" w:rsidRPr="003F1DC7">
        <w:rPr>
          <w:b/>
        </w:rPr>
        <w:t xml:space="preserve"> míst a podporu </w:t>
      </w:r>
      <w:r w:rsidR="003F1DC7" w:rsidRPr="003F1DC7">
        <w:rPr>
          <w:b/>
        </w:rPr>
        <w:t xml:space="preserve">6 436 </w:t>
      </w:r>
      <w:r w:rsidR="00044385" w:rsidRPr="003F1DC7">
        <w:rPr>
          <w:b/>
        </w:rPr>
        <w:t>osob</w:t>
      </w:r>
      <w:r w:rsidR="00C86E79" w:rsidRPr="003F1DC7">
        <w:br/>
      </w:r>
      <w:r w:rsidR="00044385" w:rsidRPr="003F1DC7">
        <w:t>(</w:t>
      </w:r>
      <w:proofErr w:type="gramStart"/>
      <w:r w:rsidR="00044385" w:rsidRPr="003F1DC7">
        <w:t>viz. graf</w:t>
      </w:r>
      <w:proofErr w:type="gramEnd"/>
      <w:r w:rsidR="00044385" w:rsidRPr="003F1DC7">
        <w:t xml:space="preserve"> - </w:t>
      </w:r>
      <w:proofErr w:type="spellStart"/>
      <w:r w:rsidR="00044385" w:rsidRPr="003F1DC7">
        <w:t>UoZ</w:t>
      </w:r>
      <w:proofErr w:type="spellEnd"/>
      <w:r w:rsidR="00044385" w:rsidRPr="003F1DC7">
        <w:t xml:space="preserve"> podpoření nástroji APZ v Ústeckém kraji od začátku roku 2014), ve většině případů uchazečů</w:t>
      </w:r>
      <w:r w:rsidR="00044385" w:rsidRPr="003F1DC7">
        <w:br/>
        <w:t>o zaměstnání.</w:t>
      </w:r>
    </w:p>
    <w:p w:rsidR="00AA03F0" w:rsidRPr="003F1DC7" w:rsidRDefault="00AA03F0" w:rsidP="00AA03F0">
      <w:pPr>
        <w:autoSpaceDE w:val="0"/>
        <w:autoSpaceDN w:val="0"/>
        <w:adjustRightInd w:val="0"/>
        <w:spacing w:after="0" w:line="240" w:lineRule="auto"/>
        <w:jc w:val="both"/>
      </w:pPr>
    </w:p>
    <w:p w:rsidR="00C041FD" w:rsidRPr="003F1DC7" w:rsidRDefault="00D15E87" w:rsidP="00AA03F0">
      <w:pPr>
        <w:autoSpaceDE w:val="0"/>
        <w:autoSpaceDN w:val="0"/>
        <w:adjustRightInd w:val="0"/>
        <w:spacing w:after="0" w:line="240" w:lineRule="auto"/>
        <w:jc w:val="center"/>
      </w:pPr>
      <w:r w:rsidRPr="003F1DC7">
        <w:rPr>
          <w:noProof/>
          <w:lang w:eastAsia="cs-CZ"/>
        </w:rPr>
        <w:drawing>
          <wp:inline distT="0" distB="0" distL="0" distR="0" wp14:anchorId="01FD0C19" wp14:editId="63C5DA3F">
            <wp:extent cx="5986780" cy="286512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703B" w:rsidRPr="00E16EC6" w:rsidRDefault="0080375A" w:rsidP="00D735B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E16EC6">
        <w:lastRenderedPageBreak/>
        <w:t>Klasickým nástrojem APZ</w:t>
      </w:r>
      <w:r w:rsidR="005B7582" w:rsidRPr="00E16EC6">
        <w:t xml:space="preserve"> s největším pohybem osob jsou jednoznačně veřejně prospěšné práce, které využívaj</w:t>
      </w:r>
      <w:r w:rsidR="006150F4" w:rsidRPr="00E16EC6">
        <w:t xml:space="preserve">í především města, obce a jimi zřizované subjekty. </w:t>
      </w:r>
      <w:r w:rsidR="005B7582" w:rsidRPr="00E16EC6">
        <w:t>Ke konci sledovaného m</w:t>
      </w:r>
      <w:r w:rsidR="006150F4" w:rsidRPr="00E16EC6">
        <w:t>ěsíce bylo v rámci VPP vytvořeno v Ústeckém kraji</w:t>
      </w:r>
      <w:r w:rsidR="005B7582" w:rsidRPr="00E16EC6">
        <w:t xml:space="preserve"> </w:t>
      </w:r>
      <w:r w:rsidR="00E16EC6" w:rsidRPr="00E16EC6">
        <w:t>2 910</w:t>
      </w:r>
      <w:r w:rsidR="005B7582" w:rsidRPr="00E16EC6">
        <w:t xml:space="preserve"> míst a umístěno </w:t>
      </w:r>
      <w:r w:rsidR="00E16EC6" w:rsidRPr="00E16EC6">
        <w:t>2 392</w:t>
      </w:r>
      <w:r w:rsidR="005B7582" w:rsidRPr="00E16EC6">
        <w:t xml:space="preserve"> uc</w:t>
      </w:r>
      <w:r w:rsidR="00F87D45" w:rsidRPr="00E16EC6">
        <w:t xml:space="preserve">hazečů o zaměstnání, přičemž </w:t>
      </w:r>
      <w:r w:rsidR="00447612" w:rsidRPr="00E16EC6">
        <w:t xml:space="preserve">1 </w:t>
      </w:r>
      <w:r w:rsidR="00E16EC6" w:rsidRPr="00E16EC6">
        <w:t>316</w:t>
      </w:r>
      <w:r w:rsidR="003D71E2" w:rsidRPr="00E16EC6">
        <w:t xml:space="preserve"> míst</w:t>
      </w:r>
      <w:r w:rsidR="003D71E2" w:rsidRPr="00E16EC6">
        <w:br/>
      </w:r>
      <w:r w:rsidR="00F87D45" w:rsidRPr="00E16EC6">
        <w:t xml:space="preserve">a </w:t>
      </w:r>
      <w:r w:rsidR="00E16EC6" w:rsidRPr="00E16EC6">
        <w:t>1 03</w:t>
      </w:r>
      <w:r w:rsidR="0070024D" w:rsidRPr="00E16EC6">
        <w:t>8</w:t>
      </w:r>
      <w:r w:rsidR="005B7582" w:rsidRPr="00E16EC6">
        <w:t xml:space="preserve"> osob bylo financo</w:t>
      </w:r>
      <w:r w:rsidR="002D7469" w:rsidRPr="00E16EC6">
        <w:t>van</w:t>
      </w:r>
      <w:r w:rsidR="00C86E79" w:rsidRPr="00E16EC6">
        <w:t xml:space="preserve">ých ze státního rozpočtu a </w:t>
      </w:r>
      <w:r w:rsidR="00447612" w:rsidRPr="00E16EC6">
        <w:t xml:space="preserve">1 </w:t>
      </w:r>
      <w:r w:rsidR="00E16EC6" w:rsidRPr="00E16EC6">
        <w:t>594</w:t>
      </w:r>
      <w:r w:rsidR="00C86E79" w:rsidRPr="00E16EC6">
        <w:t xml:space="preserve"> míst a </w:t>
      </w:r>
      <w:r w:rsidR="00447612" w:rsidRPr="00E16EC6">
        <w:t xml:space="preserve">1 </w:t>
      </w:r>
      <w:r w:rsidR="00E16EC6" w:rsidRPr="00E16EC6">
        <w:t>354</w:t>
      </w:r>
      <w:r w:rsidR="005B7582" w:rsidRPr="00E16EC6">
        <w:t xml:space="preserve"> osob z prost</w:t>
      </w:r>
      <w:r w:rsidR="00C70A7C" w:rsidRPr="00E16EC6">
        <w:t>ředků ESF.</w:t>
      </w:r>
      <w:r w:rsidR="00C70A7C" w:rsidRPr="00E16EC6">
        <w:br/>
      </w:r>
      <w:r w:rsidR="005B7582" w:rsidRPr="00E16EC6">
        <w:t xml:space="preserve">Od </w:t>
      </w:r>
      <w:r w:rsidR="00E16EC6" w:rsidRPr="00E16EC6">
        <w:t>ledna</w:t>
      </w:r>
      <w:r w:rsidR="00F87D45" w:rsidRPr="00E16EC6">
        <w:t xml:space="preserve"> </w:t>
      </w:r>
      <w:r w:rsidR="00E16EC6" w:rsidRPr="00E16EC6">
        <w:t xml:space="preserve">2014 </w:t>
      </w:r>
      <w:r w:rsidR="00F87D45" w:rsidRPr="00E16EC6">
        <w:t xml:space="preserve">bylo </w:t>
      </w:r>
      <w:r w:rsidR="00C86E79" w:rsidRPr="00E16EC6">
        <w:t xml:space="preserve">vytvořeno </w:t>
      </w:r>
      <w:r w:rsidR="00E16EC6" w:rsidRPr="00E16EC6">
        <w:t>2 429</w:t>
      </w:r>
      <w:r w:rsidR="00C86E79" w:rsidRPr="00E16EC6">
        <w:t xml:space="preserve"> míst a podpořeno </w:t>
      </w:r>
      <w:r w:rsidR="00E16EC6" w:rsidRPr="00E16EC6">
        <w:t>2 168</w:t>
      </w:r>
      <w:r w:rsidR="005B7582" w:rsidRPr="00E16EC6">
        <w:t xml:space="preserve"> uchazečů o zaměstnání. </w:t>
      </w:r>
      <w:r w:rsidR="006150F4" w:rsidRPr="00E16EC6">
        <w:t xml:space="preserve">Ze státního rozpočtu bylo vytvořeno </w:t>
      </w:r>
      <w:r w:rsidR="00E16EC6" w:rsidRPr="00E16EC6">
        <w:t>1 126</w:t>
      </w:r>
      <w:r w:rsidR="009E0478" w:rsidRPr="00E16EC6">
        <w:t xml:space="preserve"> </w:t>
      </w:r>
      <w:r w:rsidR="006150F4" w:rsidRPr="00E16EC6">
        <w:t xml:space="preserve">míst a podpořeno </w:t>
      </w:r>
      <w:r w:rsidR="00E16EC6" w:rsidRPr="00E16EC6">
        <w:t>931</w:t>
      </w:r>
      <w:r w:rsidR="006150F4" w:rsidRPr="00E16EC6">
        <w:t xml:space="preserve"> o</w:t>
      </w:r>
      <w:r w:rsidR="009E0478" w:rsidRPr="00E16EC6">
        <w:t>s</w:t>
      </w:r>
      <w:r w:rsidR="003D71E2" w:rsidRPr="00E16EC6">
        <w:t xml:space="preserve">ob, z prostředků ESF potom </w:t>
      </w:r>
      <w:r w:rsidR="0070024D" w:rsidRPr="00E16EC6">
        <w:t xml:space="preserve">1 </w:t>
      </w:r>
      <w:r w:rsidR="00E16EC6" w:rsidRPr="00E16EC6">
        <w:t>303</w:t>
      </w:r>
      <w:r w:rsidR="0070024D" w:rsidRPr="00E16EC6">
        <w:t xml:space="preserve"> míst a</w:t>
      </w:r>
      <w:r w:rsidR="00E16EC6" w:rsidRPr="00E16EC6">
        <w:t xml:space="preserve"> 1 137</w:t>
      </w:r>
      <w:r w:rsidR="006150F4" w:rsidRPr="00E16EC6">
        <w:t xml:space="preserve"> osob.</w:t>
      </w:r>
    </w:p>
    <w:p w:rsidR="00C90A0D" w:rsidRPr="00252450" w:rsidRDefault="00C90A0D" w:rsidP="005606AF">
      <w:pPr>
        <w:spacing w:after="0" w:line="240" w:lineRule="auto"/>
        <w:ind w:firstLine="708"/>
        <w:jc w:val="both"/>
      </w:pPr>
      <w:r w:rsidRPr="00E16EC6">
        <w:t xml:space="preserve">Dalším </w:t>
      </w:r>
      <w:r w:rsidR="005606AF" w:rsidRPr="00E16EC6">
        <w:t xml:space="preserve">dlouhodobě </w:t>
      </w:r>
      <w:r w:rsidRPr="00E16EC6">
        <w:t>využívaným nástrojem jsou vyhrazená spo</w:t>
      </w:r>
      <w:r w:rsidR="005606AF" w:rsidRPr="00E16EC6">
        <w:t>lečensky účelná pracovní místa,</w:t>
      </w:r>
      <w:r w:rsidR="005606AF" w:rsidRPr="00E16EC6">
        <w:br/>
      </w:r>
      <w:r w:rsidRPr="00E16EC6">
        <w:t xml:space="preserve">kdy ÚP ČR přispívá </w:t>
      </w:r>
      <w:r w:rsidRPr="00252450">
        <w:t>zaměstnavateli na mzdu zaměstnance, kterého zaměstnavatel přijme z evidence ÚP. K</w:t>
      </w:r>
      <w:r w:rsidR="00E16EC6" w:rsidRPr="00252450">
        <w:t> 30. 6</w:t>
      </w:r>
      <w:r w:rsidRPr="00252450">
        <w:t xml:space="preserve">. 2014 bylo takto vytvořeno </w:t>
      </w:r>
      <w:r w:rsidR="00371529" w:rsidRPr="00252450">
        <w:t xml:space="preserve">2 </w:t>
      </w:r>
      <w:r w:rsidR="00E16EC6" w:rsidRPr="00252450">
        <w:t>454</w:t>
      </w:r>
      <w:r w:rsidRPr="00252450">
        <w:t xml:space="preserve"> míst a umístěno </w:t>
      </w:r>
      <w:r w:rsidR="00371529" w:rsidRPr="00252450">
        <w:t xml:space="preserve">2 </w:t>
      </w:r>
      <w:r w:rsidR="00E16EC6" w:rsidRPr="00252450">
        <w:t>426</w:t>
      </w:r>
      <w:r w:rsidRPr="00252450">
        <w:t xml:space="preserve"> uchazečů o zaměstnání. Ze státního rozpočtu bylo podpořeno vytvoření </w:t>
      </w:r>
      <w:r w:rsidR="005606AF" w:rsidRPr="00252450">
        <w:t>9</w:t>
      </w:r>
      <w:r w:rsidR="00E16EC6" w:rsidRPr="00252450">
        <w:t>82</w:t>
      </w:r>
      <w:r w:rsidR="005606AF" w:rsidRPr="00252450">
        <w:t xml:space="preserve"> míst pro </w:t>
      </w:r>
      <w:r w:rsidR="00E16EC6" w:rsidRPr="00252450">
        <w:t>979</w:t>
      </w:r>
      <w:r w:rsidRPr="00252450">
        <w:t xml:space="preserve"> uchazečů, z rozpočtu ESF </w:t>
      </w:r>
      <w:r w:rsidR="00371529" w:rsidRPr="00252450">
        <w:t xml:space="preserve">1 </w:t>
      </w:r>
      <w:r w:rsidR="00E16EC6" w:rsidRPr="00252450">
        <w:t>472</w:t>
      </w:r>
      <w:r w:rsidRPr="00252450">
        <w:t xml:space="preserve"> míst pro </w:t>
      </w:r>
      <w:r w:rsidR="00371529" w:rsidRPr="00252450">
        <w:t xml:space="preserve">1 </w:t>
      </w:r>
      <w:r w:rsidR="00E16EC6" w:rsidRPr="00252450">
        <w:t>447</w:t>
      </w:r>
      <w:r w:rsidRPr="00252450">
        <w:t xml:space="preserve"> </w:t>
      </w:r>
      <w:r w:rsidR="005606AF" w:rsidRPr="00252450">
        <w:t xml:space="preserve">osob. </w:t>
      </w:r>
      <w:r w:rsidR="005606AF" w:rsidRPr="00252450">
        <w:br/>
      </w:r>
      <w:r w:rsidRPr="00252450">
        <w:t xml:space="preserve">Od počátku roku pak bylo vytvořeno </w:t>
      </w:r>
      <w:r w:rsidR="00371529" w:rsidRPr="00252450">
        <w:t xml:space="preserve">1 </w:t>
      </w:r>
      <w:r w:rsidR="00E16EC6" w:rsidRPr="00252450">
        <w:t>642</w:t>
      </w:r>
      <w:r w:rsidR="002A48FD" w:rsidRPr="00252450">
        <w:t xml:space="preserve"> míst a podpořeno </w:t>
      </w:r>
      <w:r w:rsidR="00371529" w:rsidRPr="00252450">
        <w:t>1 </w:t>
      </w:r>
      <w:r w:rsidR="00E16EC6" w:rsidRPr="00252450">
        <w:t>651</w:t>
      </w:r>
      <w:r w:rsidR="00371529" w:rsidRPr="00252450">
        <w:t xml:space="preserve"> </w:t>
      </w:r>
      <w:r w:rsidRPr="00252450">
        <w:t xml:space="preserve">osob. </w:t>
      </w:r>
      <w:r w:rsidR="00E16EC6" w:rsidRPr="00252450">
        <w:t>522</w:t>
      </w:r>
      <w:r w:rsidRPr="00252450">
        <w:t xml:space="preserve"> míst pro stejný počet osob bylo financováno z rozpočtu ČR a </w:t>
      </w:r>
      <w:r w:rsidR="00E16EC6" w:rsidRPr="00252450">
        <w:t>1 120</w:t>
      </w:r>
      <w:r w:rsidR="005606AF" w:rsidRPr="00252450">
        <w:t xml:space="preserve"> míst pro </w:t>
      </w:r>
      <w:r w:rsidR="00E16EC6" w:rsidRPr="00252450">
        <w:t>1 129</w:t>
      </w:r>
      <w:r w:rsidRPr="00252450">
        <w:t xml:space="preserve"> osob z rozpočtu ESF.</w:t>
      </w:r>
    </w:p>
    <w:p w:rsidR="00270A5C" w:rsidRPr="00252450" w:rsidRDefault="00270A5C" w:rsidP="00270A5C">
      <w:pPr>
        <w:spacing w:after="0" w:line="240" w:lineRule="auto"/>
        <w:rPr>
          <w:lang w:eastAsia="cs-CZ"/>
        </w:rPr>
      </w:pPr>
    </w:p>
    <w:p w:rsidR="005A44FE" w:rsidRPr="00252450" w:rsidRDefault="002876E8" w:rsidP="00270A5C">
      <w:pPr>
        <w:spacing w:after="0" w:line="240" w:lineRule="auto"/>
        <w:rPr>
          <w:lang w:eastAsia="cs-CZ"/>
        </w:rPr>
      </w:pPr>
      <w:r w:rsidRPr="00252450">
        <w:rPr>
          <w:lang w:eastAsia="cs-CZ"/>
        </w:rPr>
        <w:t>Tabulka č. 6</w:t>
      </w:r>
      <w:r w:rsidR="00270A5C" w:rsidRPr="00252450">
        <w:rPr>
          <w:lang w:eastAsia="cs-CZ"/>
        </w:rPr>
        <w:t xml:space="preserve"> - Přehled jednotlivých nástrojů APZ</w:t>
      </w:r>
    </w:p>
    <w:tbl>
      <w:tblPr>
        <w:tblW w:w="11003" w:type="dxa"/>
        <w:jc w:val="center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252450" w:rsidRPr="00252450" w:rsidTr="00DD2B9A">
        <w:trPr>
          <w:trHeight w:val="180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Veřejně prospěšné práce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SÚPM  zřízená u zaměstnavatele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SÚPM - vyhrazená místa</w:t>
            </w:r>
          </w:p>
        </w:tc>
      </w:tr>
      <w:tr w:rsidR="00252450" w:rsidRPr="00252450" w:rsidTr="00DD2B9A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</w:tr>
      <w:tr w:rsidR="00252450" w:rsidRPr="00252450" w:rsidTr="00DD2B9A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52450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</w:tr>
      <w:tr w:rsidR="00252450" w:rsidRPr="00252450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252450" w:rsidRDefault="00121FC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259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224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106</w:t>
            </w:r>
          </w:p>
        </w:tc>
      </w:tr>
      <w:tr w:rsidR="00252450" w:rsidRPr="00252450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252450" w:rsidRDefault="00121FC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</w:tr>
      <w:tr w:rsidR="00252450" w:rsidRPr="00252450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252450" w:rsidRDefault="00121FC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71</w:t>
            </w:r>
          </w:p>
        </w:tc>
      </w:tr>
      <w:tr w:rsidR="00252450" w:rsidRPr="00252450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252450" w:rsidRDefault="00121FC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86</w:t>
            </w:r>
          </w:p>
        </w:tc>
      </w:tr>
      <w:tr w:rsidR="00252450" w:rsidRPr="00252450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252450" w:rsidRDefault="00121FC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123</w:t>
            </w:r>
          </w:p>
        </w:tc>
      </w:tr>
      <w:tr w:rsidR="00252450" w:rsidRPr="00252450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252450" w:rsidRDefault="00121FC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</w:tr>
      <w:tr w:rsidR="00252450" w:rsidRPr="00252450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252450" w:rsidRDefault="00121FC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52450"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</w:tr>
      <w:tr w:rsidR="00252450" w:rsidRPr="00252450" w:rsidTr="00121FC6">
        <w:trPr>
          <w:trHeight w:val="180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252450" w:rsidRDefault="00121FC6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5245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252450">
              <w:rPr>
                <w:rFonts w:ascii="Calibri" w:hAnsi="Calibri" w:cs="Arial"/>
                <w:b/>
                <w:sz w:val="20"/>
                <w:szCs w:val="20"/>
              </w:rPr>
              <w:t>1 316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252450">
              <w:rPr>
                <w:rFonts w:ascii="Calibri" w:hAnsi="Calibri" w:cs="Arial"/>
                <w:b/>
                <w:sz w:val="20"/>
                <w:szCs w:val="20"/>
              </w:rPr>
              <w:t>1 126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252450">
              <w:rPr>
                <w:rFonts w:ascii="Calibri" w:hAnsi="Calibri" w:cs="Arial"/>
                <w:b/>
                <w:sz w:val="20"/>
                <w:szCs w:val="20"/>
              </w:rPr>
              <w:t>1 038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252450">
              <w:rPr>
                <w:rFonts w:ascii="Calibri" w:hAnsi="Calibri" w:cs="Arial"/>
                <w:b/>
                <w:sz w:val="20"/>
                <w:szCs w:val="20"/>
              </w:rPr>
              <w:t>931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252450">
              <w:rPr>
                <w:rFonts w:ascii="Calibri" w:hAnsi="Calibri" w:cs="Arial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252450">
              <w:rPr>
                <w:rFonts w:ascii="Calibri" w:hAnsi="Calibri" w:cs="Arial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252450">
              <w:rPr>
                <w:rFonts w:ascii="Calibri" w:hAnsi="Calibri" w:cs="Arial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252450">
              <w:rPr>
                <w:rFonts w:ascii="Calibri" w:hAnsi="Calibri" w:cs="Arial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252450">
              <w:rPr>
                <w:rFonts w:ascii="Calibri" w:hAnsi="Calibri" w:cs="Arial"/>
                <w:b/>
                <w:sz w:val="20"/>
                <w:szCs w:val="20"/>
              </w:rPr>
              <w:t>982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252450">
              <w:rPr>
                <w:rFonts w:ascii="Calibri" w:hAnsi="Calibri" w:cs="Arial"/>
                <w:b/>
                <w:sz w:val="20"/>
                <w:szCs w:val="20"/>
              </w:rPr>
              <w:t>522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252450">
              <w:rPr>
                <w:rFonts w:ascii="Calibri" w:hAnsi="Calibri" w:cs="Arial"/>
                <w:b/>
                <w:sz w:val="20"/>
                <w:szCs w:val="20"/>
              </w:rPr>
              <w:t>979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252450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252450">
              <w:rPr>
                <w:rFonts w:ascii="Calibri" w:hAnsi="Calibri" w:cs="Arial"/>
                <w:b/>
                <w:sz w:val="20"/>
                <w:szCs w:val="20"/>
              </w:rPr>
              <w:t>522</w:t>
            </w:r>
          </w:p>
        </w:tc>
      </w:tr>
    </w:tbl>
    <w:p w:rsidR="005157D5" w:rsidRPr="00252450" w:rsidRDefault="005157D5" w:rsidP="006621D0">
      <w:pPr>
        <w:spacing w:after="0" w:line="240" w:lineRule="auto"/>
        <w:rPr>
          <w:lang w:eastAsia="cs-CZ"/>
        </w:rPr>
      </w:pPr>
    </w:p>
    <w:p w:rsidR="00F0703B" w:rsidRPr="00FE54DB" w:rsidRDefault="00F0703B" w:rsidP="00F0703B">
      <w:pPr>
        <w:spacing w:after="0" w:line="240" w:lineRule="auto"/>
        <w:ind w:firstLine="708"/>
        <w:jc w:val="both"/>
      </w:pPr>
      <w:r w:rsidRPr="00252450">
        <w:t xml:space="preserve">Mezi nástroje APZ patří i podpora začínajících podnikatelů a živnostníků. V rámci podpory samostatně </w:t>
      </w:r>
      <w:r w:rsidRPr="00FE54DB">
        <w:t xml:space="preserve">výdělečné činnosti bylo </w:t>
      </w:r>
      <w:r w:rsidR="004B390C" w:rsidRPr="00FE54DB">
        <w:t xml:space="preserve">výhradně </w:t>
      </w:r>
      <w:r w:rsidRPr="00FE54DB">
        <w:t>z národních prostředků ke konci sledované měsíc</w:t>
      </w:r>
      <w:r w:rsidR="002A48FD" w:rsidRPr="00FE54DB">
        <w:t xml:space="preserve">e </w:t>
      </w:r>
      <w:r w:rsidR="00170E8F" w:rsidRPr="00FE54DB">
        <w:t>v</w:t>
      </w:r>
      <w:r w:rsidR="004B1376" w:rsidRPr="00FE54DB">
        <w:t> Úste</w:t>
      </w:r>
      <w:r w:rsidR="00252450" w:rsidRPr="00FE54DB">
        <w:t>ckém kraji podpořeno 284</w:t>
      </w:r>
      <w:r w:rsidRPr="00FE54DB">
        <w:t xml:space="preserve"> začínajících živnostníků. Od počátku roku začalo</w:t>
      </w:r>
      <w:r w:rsidR="001B05B2" w:rsidRPr="00FE54DB">
        <w:t xml:space="preserve"> s</w:t>
      </w:r>
      <w:r w:rsidR="004B390C" w:rsidRPr="00FE54DB">
        <w:t> finanční podporou úřadu práce</w:t>
      </w:r>
      <w:r w:rsidR="001B05B2" w:rsidRPr="00FE54DB">
        <w:t xml:space="preserve"> podnikat celkem </w:t>
      </w:r>
      <w:r w:rsidR="00252450" w:rsidRPr="00FE54DB">
        <w:t>95</w:t>
      </w:r>
      <w:r w:rsidR="001B05B2" w:rsidRPr="00FE54DB">
        <w:t xml:space="preserve"> osob.</w:t>
      </w:r>
    </w:p>
    <w:p w:rsidR="00F0703B" w:rsidRPr="00FE54DB" w:rsidRDefault="00F0703B" w:rsidP="006621D0">
      <w:pPr>
        <w:spacing w:after="0" w:line="240" w:lineRule="auto"/>
        <w:rPr>
          <w:lang w:eastAsia="cs-CZ"/>
        </w:rPr>
      </w:pPr>
    </w:p>
    <w:tbl>
      <w:tblPr>
        <w:tblW w:w="11003" w:type="dxa"/>
        <w:jc w:val="center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FE54DB" w:rsidRPr="00FE54DB" w:rsidTr="00DD2B9A">
        <w:trPr>
          <w:trHeight w:val="180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SÚPM - SVČ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CHPM - zřízení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CHPM - SVČ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CHPM, CHPM-SVČ - provoz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CHPM - vymezení</w:t>
            </w:r>
          </w:p>
        </w:tc>
      </w:tr>
      <w:tr w:rsidR="00FE54DB" w:rsidRPr="00FE54DB" w:rsidTr="00DD2B9A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FE54DB" w:rsidRDefault="00ED3F21" w:rsidP="00ED3F2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umístěné OZP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FE54DB" w:rsidRDefault="00ED3F21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umístěné OZP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zaměstnanci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vymezená místa</w:t>
            </w:r>
          </w:p>
        </w:tc>
      </w:tr>
      <w:tr w:rsidR="00FE54DB" w:rsidRPr="00FE54DB" w:rsidTr="00DD2B9A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</w:tr>
      <w:tr w:rsidR="00FE54DB" w:rsidRPr="00FE54DB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FE54DB" w:rsidRDefault="00121FC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737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653</w:t>
            </w:r>
          </w:p>
        </w:tc>
      </w:tr>
      <w:tr w:rsidR="00FE54DB" w:rsidRPr="00FE54DB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FE54DB" w:rsidRDefault="00121FC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318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5</w:t>
            </w:r>
          </w:p>
        </w:tc>
      </w:tr>
      <w:tr w:rsidR="00FE54DB" w:rsidRPr="00FE54DB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FE54DB" w:rsidRDefault="00121FC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569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184</w:t>
            </w:r>
          </w:p>
        </w:tc>
      </w:tr>
      <w:tr w:rsidR="00FE54DB" w:rsidRPr="00FE54DB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FE54DB" w:rsidRDefault="00121FC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533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18</w:t>
            </w:r>
          </w:p>
        </w:tc>
      </w:tr>
      <w:tr w:rsidR="00FE54DB" w:rsidRPr="00FE54DB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FE54DB" w:rsidRDefault="00121FC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9</w:t>
            </w:r>
          </w:p>
        </w:tc>
      </w:tr>
      <w:tr w:rsidR="00FE54DB" w:rsidRPr="00FE54DB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FE54DB" w:rsidRDefault="00121FC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343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19</w:t>
            </w:r>
          </w:p>
        </w:tc>
      </w:tr>
      <w:tr w:rsidR="00FE54DB" w:rsidRPr="00FE54DB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FE54DB" w:rsidRDefault="00121FC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E54DB">
              <w:rPr>
                <w:rFonts w:cs="Arial"/>
                <w:sz w:val="20"/>
                <w:szCs w:val="20"/>
              </w:rPr>
              <w:t>28</w:t>
            </w:r>
          </w:p>
        </w:tc>
      </w:tr>
      <w:tr w:rsidR="00FE54DB" w:rsidRPr="00FE54DB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FE54DB" w:rsidRDefault="00121FC6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E54DB">
              <w:rPr>
                <w:rFonts w:cs="Arial"/>
                <w:b/>
                <w:sz w:val="20"/>
                <w:szCs w:val="20"/>
              </w:rPr>
              <w:t>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E54DB">
              <w:rPr>
                <w:rFonts w:cs="Arial"/>
                <w:b/>
                <w:sz w:val="20"/>
                <w:szCs w:val="20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E54DB">
              <w:rPr>
                <w:rFonts w:cs="Arial"/>
                <w:b/>
                <w:sz w:val="20"/>
                <w:szCs w:val="20"/>
              </w:rPr>
              <w:t>306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E54DB">
              <w:rPr>
                <w:rFonts w:cs="Arial"/>
                <w:b/>
                <w:sz w:val="20"/>
                <w:szCs w:val="20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E54DB">
              <w:rPr>
                <w:rFonts w:cs="Arial"/>
                <w:b/>
                <w:sz w:val="20"/>
                <w:szCs w:val="20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E54DB">
              <w:rPr>
                <w:rFonts w:cs="Arial"/>
                <w:b/>
                <w:sz w:val="20"/>
                <w:szCs w:val="20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E54DB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E54DB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E54DB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E54DB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E54DB">
              <w:rPr>
                <w:rFonts w:cs="Arial"/>
                <w:b/>
                <w:sz w:val="20"/>
                <w:szCs w:val="20"/>
              </w:rPr>
              <w:t>3 485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FE54DB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E54DB">
              <w:rPr>
                <w:rFonts w:cs="Arial"/>
                <w:b/>
                <w:sz w:val="20"/>
                <w:szCs w:val="20"/>
              </w:rPr>
              <w:t>916</w:t>
            </w:r>
          </w:p>
        </w:tc>
      </w:tr>
    </w:tbl>
    <w:p w:rsidR="00F0703B" w:rsidRPr="00FE54DB" w:rsidRDefault="00F0703B" w:rsidP="006621D0">
      <w:pPr>
        <w:spacing w:after="0" w:line="240" w:lineRule="auto"/>
        <w:rPr>
          <w:lang w:eastAsia="cs-CZ"/>
        </w:rPr>
      </w:pPr>
    </w:p>
    <w:p w:rsidR="00D735BD" w:rsidRPr="00FE54DB" w:rsidRDefault="00D735BD" w:rsidP="00D735BD">
      <w:pPr>
        <w:spacing w:after="0" w:line="240" w:lineRule="auto"/>
        <w:ind w:firstLine="708"/>
        <w:jc w:val="both"/>
      </w:pPr>
      <w:r w:rsidRPr="00FE54DB">
        <w:t>Účinným nástrojem podpory zaměstnávání osob se zdravotním postižením je finanční spoluúčast ÚP na zřizování vhodných pracovních</w:t>
      </w:r>
      <w:r w:rsidR="002A48FD" w:rsidRPr="00FE54DB">
        <w:t xml:space="preserve"> pro tyto osoby vč. osob samos</w:t>
      </w:r>
      <w:r w:rsidR="00C70A7C" w:rsidRPr="00FE54DB">
        <w:t>tatně výdělečně činných</w:t>
      </w:r>
      <w:r w:rsidR="00FE54DB" w:rsidRPr="00FE54DB">
        <w:t xml:space="preserve"> a příspěvku</w:t>
      </w:r>
      <w:r w:rsidR="00FE54DB" w:rsidRPr="00FE54DB">
        <w:br/>
        <w:t>na provoz takovýchto chráněných pracovních míst</w:t>
      </w:r>
      <w:r w:rsidR="00C70A7C" w:rsidRPr="00FE54DB">
        <w:t>. K</w:t>
      </w:r>
      <w:r w:rsidR="00FE54DB" w:rsidRPr="00FE54DB">
        <w:t> 30. 6</w:t>
      </w:r>
      <w:r w:rsidRPr="00FE54DB">
        <w:t xml:space="preserve">. 2014 bylo v rámci tohoto nástroje vytvořeno </w:t>
      </w:r>
      <w:r w:rsidR="00FE54DB" w:rsidRPr="00FE54DB">
        <w:t>319</w:t>
      </w:r>
      <w:r w:rsidRPr="00FE54DB">
        <w:t xml:space="preserve"> pracovních míst a </w:t>
      </w:r>
      <w:r w:rsidR="00FE54DB" w:rsidRPr="00FE54DB">
        <w:t>podpořeno 252</w:t>
      </w:r>
      <w:r w:rsidRPr="00FE54DB">
        <w:t xml:space="preserve"> osob se zdravotním post</w:t>
      </w:r>
      <w:r w:rsidR="002A48FD" w:rsidRPr="00FE54DB">
        <w:t xml:space="preserve">ižením. Od začátku roku </w:t>
      </w:r>
      <w:r w:rsidRPr="00FE54DB">
        <w:t xml:space="preserve">bylo </w:t>
      </w:r>
      <w:r w:rsidR="00585EF8" w:rsidRPr="00FE54DB">
        <w:t>zřízeno</w:t>
      </w:r>
      <w:r w:rsidR="00FE54DB" w:rsidRPr="00FE54DB">
        <w:br/>
        <w:t>55</w:t>
      </w:r>
      <w:r w:rsidR="002A48FD" w:rsidRPr="00FE54DB">
        <w:t xml:space="preserve"> </w:t>
      </w:r>
      <w:r w:rsidRPr="00FE54DB">
        <w:t>c</w:t>
      </w:r>
      <w:r w:rsidR="002A48FD" w:rsidRPr="00FE54DB">
        <w:t>hráněných pracovních mí</w:t>
      </w:r>
      <w:r w:rsidR="00FE54DB" w:rsidRPr="00FE54DB">
        <w:t>st a umístěno 83</w:t>
      </w:r>
      <w:r w:rsidR="004B390C" w:rsidRPr="00FE54DB">
        <w:t xml:space="preserve"> osob</w:t>
      </w:r>
      <w:r w:rsidRPr="00FE54DB">
        <w:t xml:space="preserve">. K poslednímu dni sledovaného měsíce bylo </w:t>
      </w:r>
      <w:r w:rsidR="00FE54DB" w:rsidRPr="00FE54DB">
        <w:t xml:space="preserve">zároveň </w:t>
      </w:r>
      <w:r w:rsidRPr="00FE54DB">
        <w:t xml:space="preserve">vymezeno </w:t>
      </w:r>
      <w:r w:rsidR="004B390C" w:rsidRPr="00FE54DB">
        <w:t xml:space="preserve">3 </w:t>
      </w:r>
      <w:r w:rsidR="00FE54DB" w:rsidRPr="00FE54DB">
        <w:t>485</w:t>
      </w:r>
      <w:r w:rsidRPr="00FE54DB">
        <w:t xml:space="preserve"> míst pro </w:t>
      </w:r>
      <w:r w:rsidR="00FE54DB" w:rsidRPr="00FE54DB">
        <w:t>5 296</w:t>
      </w:r>
      <w:r w:rsidRPr="00FE54DB">
        <w:t xml:space="preserve"> osob se zdravotním postižením. Od začátku roku se pak jednalo </w:t>
      </w:r>
      <w:r w:rsidR="004B390C" w:rsidRPr="00FE54DB">
        <w:t xml:space="preserve">o </w:t>
      </w:r>
      <w:r w:rsidR="00FE54DB" w:rsidRPr="00FE54DB">
        <w:t>916</w:t>
      </w:r>
      <w:r w:rsidRPr="00FE54DB">
        <w:t xml:space="preserve"> míst a </w:t>
      </w:r>
      <w:r w:rsidR="00FE54DB" w:rsidRPr="00FE54DB">
        <w:t>1 022</w:t>
      </w:r>
      <w:r w:rsidRPr="00FE54DB">
        <w:t xml:space="preserve"> osob.</w:t>
      </w:r>
    </w:p>
    <w:p w:rsidR="004B390C" w:rsidRPr="00FE54DB" w:rsidRDefault="004B390C" w:rsidP="006621D0">
      <w:pPr>
        <w:spacing w:after="0" w:line="240" w:lineRule="auto"/>
        <w:rPr>
          <w:lang w:eastAsia="cs-CZ"/>
        </w:rPr>
      </w:pPr>
    </w:p>
    <w:tbl>
      <w:tblPr>
        <w:tblW w:w="11003" w:type="dxa"/>
        <w:jc w:val="center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FE54DB" w:rsidRPr="00FE54DB" w:rsidTr="00DD2B9A">
        <w:trPr>
          <w:trHeight w:val="180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Okres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Překlenovací příspěvek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Příspěvek na zapracování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FE54DB" w:rsidRDefault="00551257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Aktivizační pracovní příležitost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FE54DB" w:rsidRDefault="00551257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Projekty ESF OP LZZ - VPP</w:t>
            </w:r>
          </w:p>
        </w:tc>
      </w:tr>
      <w:tr w:rsidR="00FE54DB" w:rsidRPr="00FE54DB" w:rsidTr="00DD2B9A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počet osob SVČ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počet osob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FE54DB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54DB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</w:tr>
      <w:tr w:rsidR="00B7357F" w:rsidRPr="00B7357F" w:rsidTr="00DD2B9A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B7357F" w:rsidRDefault="00655D8D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B7357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B7357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B7357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B7357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B7357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B7357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B7357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B7357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B7357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B7357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B7357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B7357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387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289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233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69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144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148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91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192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276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253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7357F">
              <w:rPr>
                <w:rFonts w:cs="Arial"/>
                <w:sz w:val="20"/>
                <w:szCs w:val="20"/>
              </w:rPr>
              <w:t>260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B7357F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B7357F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B7357F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B7357F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B7357F">
              <w:rPr>
                <w:rFonts w:cs="Arial"/>
                <w:b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B7357F">
              <w:rPr>
                <w:rFonts w:cs="Arial"/>
                <w:b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B7357F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B7357F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B7357F">
              <w:rPr>
                <w:rFonts w:cs="Arial"/>
                <w:b/>
                <w:sz w:val="20"/>
                <w:szCs w:val="20"/>
              </w:rPr>
              <w:t>1 594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B7357F">
              <w:rPr>
                <w:rFonts w:cs="Arial"/>
                <w:b/>
                <w:sz w:val="20"/>
                <w:szCs w:val="20"/>
              </w:rPr>
              <w:t>1 303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B7357F">
              <w:rPr>
                <w:rFonts w:cs="Arial"/>
                <w:b/>
                <w:sz w:val="20"/>
                <w:szCs w:val="20"/>
              </w:rPr>
              <w:t>1 354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B7357F">
              <w:rPr>
                <w:rFonts w:cs="Arial"/>
                <w:b/>
                <w:sz w:val="20"/>
                <w:szCs w:val="20"/>
              </w:rPr>
              <w:t>1 137</w:t>
            </w:r>
          </w:p>
        </w:tc>
      </w:tr>
    </w:tbl>
    <w:p w:rsidR="00F0703B" w:rsidRPr="00B7357F" w:rsidRDefault="00F0703B" w:rsidP="006621D0">
      <w:pPr>
        <w:spacing w:after="0" w:line="240" w:lineRule="auto"/>
        <w:rPr>
          <w:lang w:eastAsia="cs-CZ"/>
        </w:rPr>
      </w:pPr>
    </w:p>
    <w:p w:rsidR="00427BAD" w:rsidRPr="00B7357F" w:rsidRDefault="00427BAD" w:rsidP="00427BAD">
      <w:pPr>
        <w:spacing w:after="0" w:line="240" w:lineRule="auto"/>
        <w:ind w:firstLine="708"/>
        <w:jc w:val="both"/>
      </w:pPr>
      <w:r w:rsidRPr="00B7357F">
        <w:t>Mezi nástroje APZ jsou zařazovány i cílené programy realizované na oddělení ESF</w:t>
      </w:r>
      <w:r w:rsidR="009B1E16" w:rsidRPr="00B7357F">
        <w:t xml:space="preserve">. Jedná se </w:t>
      </w:r>
      <w:r w:rsidRPr="00B7357F">
        <w:t xml:space="preserve">především o regionální individuální projekty (RIP), jejichž podrobnější rozbor </w:t>
      </w:r>
      <w:proofErr w:type="gramStart"/>
      <w:r w:rsidRPr="00B7357F">
        <w:t>je</w:t>
      </w:r>
      <w:proofErr w:type="gramEnd"/>
      <w:r w:rsidRPr="00B7357F">
        <w:t xml:space="preserve"> uveden </w:t>
      </w:r>
      <w:r w:rsidR="009B1E16" w:rsidRPr="00B7357F">
        <w:t>v 6. kapitole.</w:t>
      </w:r>
      <w:r w:rsidR="009B1E16" w:rsidRPr="00B7357F">
        <w:br/>
      </w:r>
      <w:r w:rsidRPr="00B7357F">
        <w:t>K </w:t>
      </w:r>
      <w:r w:rsidR="00B7357F" w:rsidRPr="00B7357F">
        <w:t xml:space="preserve">30. 6. </w:t>
      </w:r>
      <w:r w:rsidRPr="00B7357F">
        <w:t xml:space="preserve">2014 </w:t>
      </w:r>
      <w:proofErr w:type="gramStart"/>
      <w:r w:rsidRPr="00B7357F">
        <w:t>bylo</w:t>
      </w:r>
      <w:proofErr w:type="gramEnd"/>
      <w:r w:rsidRPr="00B7357F">
        <w:t xml:space="preserve"> v rámci odborné praxe mladých do 30 let vytvořeno </w:t>
      </w:r>
      <w:r w:rsidR="00B7357F" w:rsidRPr="00B7357F">
        <w:t>825</w:t>
      </w:r>
      <w:r w:rsidRPr="00B7357F">
        <w:t xml:space="preserve"> míst a umístěno stejné množství uchazečů. Od počátku roku s</w:t>
      </w:r>
      <w:r w:rsidR="00111608" w:rsidRPr="00B7357F">
        <w:t xml:space="preserve">e jedná o podporu </w:t>
      </w:r>
      <w:r w:rsidR="00B7357F" w:rsidRPr="00B7357F">
        <w:t>652 míst i</w:t>
      </w:r>
      <w:r w:rsidR="00111608" w:rsidRPr="00B7357F">
        <w:t xml:space="preserve"> osob. Prostřednictvím dalších </w:t>
      </w:r>
      <w:r w:rsidRPr="00B7357F">
        <w:t>cílených programů</w:t>
      </w:r>
      <w:r w:rsidR="0083197F" w:rsidRPr="00B7357F">
        <w:t xml:space="preserve"> bylo ke konci měsíce</w:t>
      </w:r>
      <w:r w:rsidRPr="00B7357F">
        <w:t xml:space="preserve"> vytvořeno </w:t>
      </w:r>
      <w:r w:rsidR="00B7357F" w:rsidRPr="00B7357F">
        <w:t>590</w:t>
      </w:r>
      <w:r w:rsidRPr="00B7357F">
        <w:t xml:space="preserve"> </w:t>
      </w:r>
      <w:r w:rsidR="009B1E16" w:rsidRPr="00B7357F">
        <w:t xml:space="preserve">míst </w:t>
      </w:r>
      <w:r w:rsidR="009B27D9" w:rsidRPr="00B7357F">
        <w:t xml:space="preserve">a podpořeno </w:t>
      </w:r>
      <w:r w:rsidR="00B7357F" w:rsidRPr="00B7357F">
        <w:t>783 osob. Od ledna 2014</w:t>
      </w:r>
      <w:r w:rsidR="00111608" w:rsidRPr="00B7357F">
        <w:t xml:space="preserve"> </w:t>
      </w:r>
      <w:r w:rsidR="00B7357F" w:rsidRPr="00B7357F">
        <w:t>potom jde o</w:t>
      </w:r>
      <w:r w:rsidR="000A360C" w:rsidRPr="00B7357F">
        <w:t xml:space="preserve"> </w:t>
      </w:r>
      <w:r w:rsidR="00B7357F" w:rsidRPr="00B7357F">
        <w:t>283 míst</w:t>
      </w:r>
      <w:r w:rsidR="00B7357F" w:rsidRPr="00B7357F">
        <w:br/>
      </w:r>
      <w:r w:rsidR="009B27D9" w:rsidRPr="00B7357F">
        <w:t xml:space="preserve">a </w:t>
      </w:r>
      <w:r w:rsidR="00B7357F" w:rsidRPr="00B7357F">
        <w:t>377</w:t>
      </w:r>
      <w:r w:rsidR="00111608" w:rsidRPr="00B7357F">
        <w:t xml:space="preserve"> osob.</w:t>
      </w:r>
    </w:p>
    <w:p w:rsidR="00427BAD" w:rsidRPr="00B7357F" w:rsidRDefault="00427BAD" w:rsidP="006621D0">
      <w:pPr>
        <w:spacing w:after="0" w:line="240" w:lineRule="auto"/>
        <w:rPr>
          <w:lang w:eastAsia="cs-CZ"/>
        </w:rPr>
      </w:pPr>
    </w:p>
    <w:tbl>
      <w:tblPr>
        <w:tblW w:w="11003" w:type="dxa"/>
        <w:jc w:val="center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B7357F" w:rsidRPr="00B7357F" w:rsidTr="00551257">
        <w:trPr>
          <w:trHeight w:val="180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Projekty ESF OP LZZ - SÚPM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Projekty ESF OP LZZ -</w:t>
            </w:r>
          </w:p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Cílené programy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Projekty ESF OP LZZ -</w:t>
            </w:r>
          </w:p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Odborná praxe mladých do 30 let                                                                                                                                                                                      </w:t>
            </w:r>
          </w:p>
        </w:tc>
      </w:tr>
      <w:tr w:rsidR="00B7357F" w:rsidRPr="00B7357F" w:rsidTr="00551257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</w:tr>
      <w:tr w:rsidR="00B7357F" w:rsidRPr="00B7357F" w:rsidTr="00551257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B7357F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5512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268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103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5512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85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5512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313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313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80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5512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88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5512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120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5512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99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5512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77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55125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B7357F">
              <w:rPr>
                <w:rFonts w:ascii="Calibri" w:hAnsi="Calibri" w:cs="Arial"/>
                <w:b/>
                <w:sz w:val="20"/>
                <w:szCs w:val="20"/>
              </w:rPr>
              <w:t>1 472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B7357F">
              <w:rPr>
                <w:rFonts w:ascii="Calibri" w:hAnsi="Calibri" w:cs="Arial"/>
                <w:b/>
                <w:sz w:val="20"/>
                <w:szCs w:val="20"/>
              </w:rPr>
              <w:t>1 120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B7357F">
              <w:rPr>
                <w:rFonts w:ascii="Calibri" w:hAnsi="Calibri" w:cs="Arial"/>
                <w:b/>
                <w:sz w:val="20"/>
                <w:szCs w:val="20"/>
              </w:rPr>
              <w:t>1 447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B7357F">
              <w:rPr>
                <w:rFonts w:ascii="Calibri" w:hAnsi="Calibri" w:cs="Arial"/>
                <w:b/>
                <w:sz w:val="20"/>
                <w:szCs w:val="20"/>
              </w:rPr>
              <w:t>1 129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B7357F">
              <w:rPr>
                <w:rFonts w:ascii="Calibri" w:hAnsi="Calibri" w:cs="Arial"/>
                <w:b/>
                <w:sz w:val="20"/>
                <w:szCs w:val="20"/>
              </w:rPr>
              <w:t>590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B7357F">
              <w:rPr>
                <w:rFonts w:ascii="Calibri" w:hAnsi="Calibri" w:cs="Arial"/>
                <w:b/>
                <w:sz w:val="20"/>
                <w:szCs w:val="20"/>
              </w:rPr>
              <w:t>283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B7357F">
              <w:rPr>
                <w:rFonts w:ascii="Calibri" w:hAnsi="Calibri" w:cs="Arial"/>
                <w:b/>
                <w:sz w:val="20"/>
                <w:szCs w:val="20"/>
              </w:rPr>
              <w:t>783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B7357F">
              <w:rPr>
                <w:rFonts w:ascii="Calibri" w:hAnsi="Calibri" w:cs="Arial"/>
                <w:b/>
                <w:sz w:val="20"/>
                <w:szCs w:val="20"/>
              </w:rPr>
              <w:t>377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B7357F">
              <w:rPr>
                <w:rFonts w:ascii="Calibri" w:hAnsi="Calibri" w:cs="Arial"/>
                <w:b/>
                <w:sz w:val="20"/>
                <w:szCs w:val="20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B7357F">
              <w:rPr>
                <w:rFonts w:ascii="Calibri" w:hAnsi="Calibri" w:cs="Arial"/>
                <w:b/>
                <w:sz w:val="20"/>
                <w:szCs w:val="20"/>
              </w:rPr>
              <w:t>652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B7357F">
              <w:rPr>
                <w:rFonts w:ascii="Calibri" w:hAnsi="Calibri" w:cs="Arial"/>
                <w:b/>
                <w:sz w:val="20"/>
                <w:szCs w:val="20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B7357F">
              <w:rPr>
                <w:rFonts w:ascii="Calibri" w:hAnsi="Calibri" w:cs="Arial"/>
                <w:b/>
                <w:sz w:val="20"/>
                <w:szCs w:val="20"/>
              </w:rPr>
              <w:t>652</w:t>
            </w:r>
          </w:p>
        </w:tc>
      </w:tr>
    </w:tbl>
    <w:p w:rsidR="00EA7F4B" w:rsidRPr="00B7357F" w:rsidRDefault="00EA7F4B" w:rsidP="006621D0">
      <w:pPr>
        <w:spacing w:after="0" w:line="240" w:lineRule="auto"/>
        <w:rPr>
          <w:lang w:eastAsia="cs-CZ"/>
        </w:rPr>
      </w:pPr>
    </w:p>
    <w:p w:rsidR="00EA7F4B" w:rsidRPr="00B7357F" w:rsidRDefault="00EA7F4B" w:rsidP="00EA7F4B">
      <w:pPr>
        <w:spacing w:after="0" w:line="240" w:lineRule="auto"/>
        <w:ind w:firstLine="708"/>
        <w:jc w:val="both"/>
      </w:pPr>
      <w:r w:rsidRPr="00B7357F">
        <w:t>Od loňského roku se využívá institutu zvolených rekvalifikací, kdy uchazeč sám má možnost aktivně ovlivnit zařazení do rekvalifikačního kurzu. K</w:t>
      </w:r>
      <w:r w:rsidR="00B7357F" w:rsidRPr="00B7357F">
        <w:t> 30. 6</w:t>
      </w:r>
      <w:r w:rsidRPr="00B7357F">
        <w:t>. 2014 bylo v rámci z</w:t>
      </w:r>
      <w:r w:rsidR="009B1E16" w:rsidRPr="00B7357F">
        <w:t>vol</w:t>
      </w:r>
      <w:r w:rsidR="00B7357F" w:rsidRPr="00B7357F">
        <w:t>ených rekvalifikací zařazeno</w:t>
      </w:r>
      <w:r w:rsidR="00B7357F" w:rsidRPr="00B7357F">
        <w:br/>
        <w:t>209</w:t>
      </w:r>
      <w:r w:rsidRPr="00B7357F">
        <w:t xml:space="preserve"> uchazečů o zaměstnání</w:t>
      </w:r>
      <w:r w:rsidR="00487472" w:rsidRPr="00B7357F">
        <w:t>.</w:t>
      </w:r>
      <w:r w:rsidRPr="00B7357F">
        <w:t xml:space="preserve"> Od začátku roku se takto umístilo celkem </w:t>
      </w:r>
      <w:r w:rsidR="00B7357F" w:rsidRPr="00B7357F">
        <w:t>692</w:t>
      </w:r>
      <w:r w:rsidRPr="00B7357F">
        <w:t xml:space="preserve"> osob, přičemž všechny kurzy byly hrazeny prostřednictvím ESF.</w:t>
      </w:r>
      <w:r w:rsidR="009B1E16" w:rsidRPr="00B7357F">
        <w:t xml:space="preserve"> Do „standardních“ rekvalifikací bylo od začátku roku zařazeno </w:t>
      </w:r>
      <w:r w:rsidR="00B7357F" w:rsidRPr="00B7357F">
        <w:t>803</w:t>
      </w:r>
      <w:r w:rsidR="00C35086" w:rsidRPr="00B7357F">
        <w:t xml:space="preserve"> uchazečů</w:t>
      </w:r>
      <w:r w:rsidR="00C35086" w:rsidRPr="00B7357F">
        <w:br/>
      </w:r>
      <w:r w:rsidR="009B1E16" w:rsidRPr="00B7357F">
        <w:t xml:space="preserve">či zájemců </w:t>
      </w:r>
      <w:r w:rsidR="00B7357F" w:rsidRPr="00B7357F">
        <w:t xml:space="preserve">o zaměstnání </w:t>
      </w:r>
      <w:r w:rsidR="009B1E16" w:rsidRPr="00B7357F">
        <w:t>a k poslednímu dni sledovanéh</w:t>
      </w:r>
      <w:r w:rsidR="00425993" w:rsidRPr="00B7357F">
        <w:t xml:space="preserve">o měsíce bylo takto umístěno </w:t>
      </w:r>
      <w:r w:rsidR="00B7357F" w:rsidRPr="00B7357F">
        <w:t>228</w:t>
      </w:r>
      <w:r w:rsidR="009B1E16" w:rsidRPr="00B7357F">
        <w:t xml:space="preserve"> osob.</w:t>
      </w:r>
    </w:p>
    <w:p w:rsidR="00EA7F4B" w:rsidRPr="00B7357F" w:rsidRDefault="00EA7F4B" w:rsidP="006621D0">
      <w:pPr>
        <w:spacing w:after="0" w:line="240" w:lineRule="auto"/>
        <w:rPr>
          <w:lang w:eastAsia="cs-CZ"/>
        </w:rPr>
      </w:pPr>
    </w:p>
    <w:tbl>
      <w:tblPr>
        <w:tblW w:w="6083" w:type="dxa"/>
        <w:jc w:val="center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820"/>
        <w:gridCol w:w="820"/>
        <w:gridCol w:w="820"/>
        <w:gridCol w:w="820"/>
        <w:gridCol w:w="820"/>
        <w:gridCol w:w="820"/>
      </w:tblGrid>
      <w:tr w:rsidR="00B7357F" w:rsidRPr="00B7357F" w:rsidTr="00EA7F4B">
        <w:trPr>
          <w:trHeight w:val="180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A7F4B" w:rsidRPr="00B7357F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A7F4B" w:rsidRPr="00B7357F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Rekvalifikace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B7357F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Zvolená rekvalifikace</w:t>
            </w:r>
          </w:p>
        </w:tc>
      </w:tr>
      <w:tr w:rsidR="00B7357F" w:rsidRPr="00B7357F" w:rsidTr="00EA7F4B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B7357F" w:rsidRDefault="00EA7F4B" w:rsidP="004401D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A7F4B" w:rsidRPr="00B7357F" w:rsidRDefault="00EA7F4B" w:rsidP="004401D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B7357F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bez ESF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B7357F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ESF OP LZZ</w:t>
            </w:r>
          </w:p>
        </w:tc>
      </w:tr>
      <w:tr w:rsidR="00B7357F" w:rsidRPr="00B7357F" w:rsidTr="00EA7F4B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B7357F" w:rsidRDefault="00EA7F4B" w:rsidP="004401D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A7F4B" w:rsidRPr="00B7357F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A7F4B" w:rsidRPr="00B7357F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A7F4B" w:rsidRPr="00B7357F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</w:tr>
      <w:tr w:rsidR="00B7357F" w:rsidRPr="00B7357F" w:rsidTr="00EA7F4B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B7357F" w:rsidRDefault="00EA7F4B" w:rsidP="004401D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B7357F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B7357F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B7357F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B7357F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B7357F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B7357F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4401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106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4401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64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4401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170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4401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51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4401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79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4401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89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4401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7357F">
              <w:rPr>
                <w:rFonts w:ascii="Calibri" w:hAnsi="Calibri" w:cs="Arial"/>
                <w:sz w:val="20"/>
                <w:szCs w:val="20"/>
              </w:rPr>
              <w:t>133</w:t>
            </w:r>
          </w:p>
        </w:tc>
      </w:tr>
      <w:tr w:rsidR="00B7357F" w:rsidRPr="00B7357F" w:rsidTr="00121FC6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4401D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7357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B7357F">
              <w:rPr>
                <w:rFonts w:ascii="Calibri" w:hAnsi="Calibri" w:cs="Arial"/>
                <w:b/>
                <w:sz w:val="20"/>
                <w:szCs w:val="20"/>
              </w:rPr>
              <w:t>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B7357F">
              <w:rPr>
                <w:rFonts w:ascii="Calibri" w:hAnsi="Calibri" w:cs="Arial"/>
                <w:b/>
                <w:sz w:val="20"/>
                <w:szCs w:val="20"/>
              </w:rPr>
              <w:t>803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B7357F">
              <w:rPr>
                <w:rFonts w:ascii="Calibri" w:hAnsi="Calibri" w:cs="Arial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B7357F">
              <w:rPr>
                <w:rFonts w:ascii="Calibri" w:hAnsi="Calibri" w:cs="Arial"/>
                <w:b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B7357F">
              <w:rPr>
                <w:rFonts w:ascii="Calibri" w:hAnsi="Calibri" w:cs="Arial"/>
                <w:b/>
                <w:sz w:val="20"/>
                <w:szCs w:val="20"/>
              </w:rPr>
              <w:t>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21FC6" w:rsidRPr="00B7357F" w:rsidRDefault="00121FC6" w:rsidP="00121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B7357F">
              <w:rPr>
                <w:rFonts w:ascii="Calibri" w:hAnsi="Calibri" w:cs="Arial"/>
                <w:b/>
                <w:sz w:val="20"/>
                <w:szCs w:val="20"/>
              </w:rPr>
              <w:t>692</w:t>
            </w:r>
          </w:p>
        </w:tc>
      </w:tr>
    </w:tbl>
    <w:p w:rsidR="0049683A" w:rsidRPr="000A3877" w:rsidRDefault="002876E8" w:rsidP="00036E9F">
      <w:pPr>
        <w:pStyle w:val="Nadpis1"/>
        <w:rPr>
          <w:b/>
          <w:caps/>
          <w:szCs w:val="22"/>
        </w:rPr>
      </w:pPr>
      <w:bookmarkStart w:id="4" w:name="_Toc316903617"/>
      <w:bookmarkStart w:id="5" w:name="_Toc393271594"/>
      <w:r w:rsidRPr="00B7357F">
        <w:rPr>
          <w:b/>
          <w:szCs w:val="22"/>
        </w:rPr>
        <w:lastRenderedPageBreak/>
        <w:t>5</w:t>
      </w:r>
      <w:r w:rsidR="00013D00" w:rsidRPr="00B7357F">
        <w:rPr>
          <w:b/>
          <w:szCs w:val="22"/>
        </w:rPr>
        <w:t xml:space="preserve">. </w:t>
      </w:r>
      <w:bookmarkEnd w:id="4"/>
      <w:r w:rsidR="00C32B67" w:rsidRPr="00B7357F">
        <w:rPr>
          <w:b/>
          <w:szCs w:val="22"/>
        </w:rPr>
        <w:t xml:space="preserve">POSKYTNUTÉ </w:t>
      </w:r>
      <w:r w:rsidR="00856F33" w:rsidRPr="00B7357F">
        <w:rPr>
          <w:b/>
          <w:caps/>
          <w:szCs w:val="22"/>
        </w:rPr>
        <w:t>nepojistné sociální dávky</w:t>
      </w:r>
      <w:r w:rsidR="00C32B67" w:rsidRPr="00B7357F">
        <w:rPr>
          <w:b/>
          <w:caps/>
          <w:szCs w:val="22"/>
        </w:rPr>
        <w:t xml:space="preserve"> V</w:t>
      </w:r>
      <w:r w:rsidR="00C32B67" w:rsidRPr="000A3877">
        <w:rPr>
          <w:b/>
          <w:caps/>
          <w:szCs w:val="22"/>
        </w:rPr>
        <w:t> ÚSTECKÉM KRAJI</w:t>
      </w:r>
      <w:bookmarkEnd w:id="5"/>
    </w:p>
    <w:p w:rsidR="006621D0" w:rsidRPr="000A3877" w:rsidRDefault="006621D0" w:rsidP="0049683A">
      <w:pPr>
        <w:spacing w:after="0" w:line="240" w:lineRule="auto"/>
        <w:jc w:val="both"/>
        <w:rPr>
          <w:lang w:eastAsia="cs-CZ"/>
        </w:rPr>
      </w:pPr>
    </w:p>
    <w:p w:rsidR="00036E9F" w:rsidRPr="000A3877" w:rsidRDefault="000A3877" w:rsidP="00EE0CC5">
      <w:pPr>
        <w:spacing w:after="0" w:line="240" w:lineRule="auto"/>
        <w:jc w:val="center"/>
        <w:rPr>
          <w:lang w:eastAsia="cs-CZ"/>
        </w:rPr>
      </w:pPr>
      <w:r w:rsidRPr="000A3877">
        <w:rPr>
          <w:noProof/>
          <w:lang w:eastAsia="cs-CZ"/>
        </w:rPr>
        <w:drawing>
          <wp:inline distT="0" distB="0" distL="0" distR="0" wp14:anchorId="38528173" wp14:editId="503CEC19">
            <wp:extent cx="5986780" cy="2871470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6E9F" w:rsidRPr="00566310" w:rsidRDefault="00036E9F" w:rsidP="0049683A">
      <w:pPr>
        <w:spacing w:after="0" w:line="240" w:lineRule="auto"/>
        <w:jc w:val="both"/>
        <w:rPr>
          <w:lang w:eastAsia="cs-CZ"/>
        </w:rPr>
      </w:pPr>
    </w:p>
    <w:p w:rsidR="00036E9F" w:rsidRPr="00566310" w:rsidRDefault="00036E9F" w:rsidP="00036E9F">
      <w:pPr>
        <w:spacing w:after="0" w:line="240" w:lineRule="auto"/>
        <w:ind w:firstLine="708"/>
        <w:jc w:val="both"/>
        <w:rPr>
          <w:lang w:eastAsia="cs-CZ"/>
        </w:rPr>
      </w:pPr>
      <w:r w:rsidRPr="00566310">
        <w:rPr>
          <w:lang w:eastAsia="cs-CZ"/>
        </w:rPr>
        <w:t xml:space="preserve">V průběhu měsíce </w:t>
      </w:r>
      <w:r w:rsidR="00566310" w:rsidRPr="00566310">
        <w:rPr>
          <w:b/>
          <w:lang w:eastAsia="cs-CZ"/>
        </w:rPr>
        <w:t>června</w:t>
      </w:r>
      <w:r w:rsidRPr="00566310">
        <w:rPr>
          <w:lang w:eastAsia="cs-CZ"/>
        </w:rPr>
        <w:t xml:space="preserve"> bylo v Ústeckém kraji finančně </w:t>
      </w:r>
      <w:r w:rsidRPr="00566310">
        <w:rPr>
          <w:b/>
          <w:lang w:eastAsia="cs-CZ"/>
        </w:rPr>
        <w:t xml:space="preserve">podpořeno </w:t>
      </w:r>
      <w:r w:rsidR="00566310" w:rsidRPr="00566310">
        <w:rPr>
          <w:b/>
          <w:lang w:eastAsia="cs-CZ"/>
        </w:rPr>
        <w:t>196 335</w:t>
      </w:r>
      <w:r w:rsidRPr="00566310">
        <w:rPr>
          <w:b/>
          <w:lang w:eastAsia="cs-CZ"/>
        </w:rPr>
        <w:t xml:space="preserve"> osob a vyplacená částka </w:t>
      </w:r>
      <w:r w:rsidR="00566310" w:rsidRPr="00566310">
        <w:rPr>
          <w:b/>
          <w:lang w:eastAsia="cs-CZ"/>
        </w:rPr>
        <w:t>přesá</w:t>
      </w:r>
      <w:r w:rsidR="00B019D2" w:rsidRPr="00566310">
        <w:rPr>
          <w:b/>
          <w:lang w:eastAsia="cs-CZ"/>
        </w:rPr>
        <w:t>hla bezmála</w:t>
      </w:r>
      <w:r w:rsidR="00E879AD" w:rsidRPr="00566310">
        <w:rPr>
          <w:b/>
          <w:lang w:eastAsia="cs-CZ"/>
        </w:rPr>
        <w:t xml:space="preserve"> </w:t>
      </w:r>
      <w:r w:rsidR="00566310" w:rsidRPr="00566310">
        <w:rPr>
          <w:b/>
          <w:lang w:eastAsia="cs-CZ"/>
        </w:rPr>
        <w:t>63</w:t>
      </w:r>
      <w:r w:rsidR="00F96453" w:rsidRPr="00566310">
        <w:rPr>
          <w:b/>
          <w:lang w:eastAsia="cs-CZ"/>
        </w:rPr>
        <w:t>1</w:t>
      </w:r>
      <w:r w:rsidRPr="00566310">
        <w:rPr>
          <w:b/>
          <w:lang w:eastAsia="cs-CZ"/>
        </w:rPr>
        <w:t xml:space="preserve"> mil. Kč</w:t>
      </w:r>
      <w:r w:rsidRPr="00566310">
        <w:rPr>
          <w:lang w:eastAsia="cs-CZ"/>
        </w:rPr>
        <w:t>. Největší podíl podpořených osob i vyplacených prostředků byl v rámci dávek státní sociální podpory, kdy počet uspo</w:t>
      </w:r>
      <w:r w:rsidR="00C7518F" w:rsidRPr="00566310">
        <w:rPr>
          <w:lang w:eastAsia="cs-CZ"/>
        </w:rPr>
        <w:t xml:space="preserve">kojených žadatelů činil </w:t>
      </w:r>
      <w:r w:rsidR="00566310" w:rsidRPr="00566310">
        <w:rPr>
          <w:lang w:eastAsia="cs-CZ"/>
        </w:rPr>
        <w:t>110 625</w:t>
      </w:r>
      <w:r w:rsidR="00394B3C" w:rsidRPr="00566310">
        <w:rPr>
          <w:lang w:eastAsia="cs-CZ"/>
        </w:rPr>
        <w:t xml:space="preserve"> osob, a </w:t>
      </w:r>
      <w:r w:rsidR="00C7518F" w:rsidRPr="00566310">
        <w:rPr>
          <w:lang w:eastAsia="cs-CZ"/>
        </w:rPr>
        <w:t>vyplacená částka</w:t>
      </w:r>
      <w:r w:rsidR="00394B3C" w:rsidRPr="00566310">
        <w:rPr>
          <w:lang w:eastAsia="cs-CZ"/>
        </w:rPr>
        <w:t xml:space="preserve"> </w:t>
      </w:r>
      <w:r w:rsidR="00566310" w:rsidRPr="00566310">
        <w:rPr>
          <w:lang w:eastAsia="cs-CZ"/>
        </w:rPr>
        <w:t>dosáhla 31</w:t>
      </w:r>
      <w:r w:rsidR="00DC442C" w:rsidRPr="00566310">
        <w:rPr>
          <w:lang w:eastAsia="cs-CZ"/>
        </w:rPr>
        <w:t>2</w:t>
      </w:r>
      <w:r w:rsidRPr="00566310">
        <w:rPr>
          <w:lang w:eastAsia="cs-CZ"/>
        </w:rPr>
        <w:t xml:space="preserve"> mil. Kč. Množství vynaložených finančních prostředků vynaložených na dávky hmotné nouze </w:t>
      </w:r>
      <w:r w:rsidR="00566310" w:rsidRPr="00566310">
        <w:rPr>
          <w:lang w:eastAsia="cs-CZ"/>
        </w:rPr>
        <w:t xml:space="preserve">činilo 156 </w:t>
      </w:r>
      <w:r w:rsidRPr="00566310">
        <w:rPr>
          <w:lang w:eastAsia="cs-CZ"/>
        </w:rPr>
        <w:t>mil</w:t>
      </w:r>
      <w:r w:rsidR="004E5B92" w:rsidRPr="00566310">
        <w:rPr>
          <w:lang w:eastAsia="cs-CZ"/>
        </w:rPr>
        <w:t>.</w:t>
      </w:r>
      <w:r w:rsidRPr="00566310">
        <w:rPr>
          <w:lang w:eastAsia="cs-CZ"/>
        </w:rPr>
        <w:t xml:space="preserve"> Kč a podpořeno bylo </w:t>
      </w:r>
      <w:r w:rsidR="00566310" w:rsidRPr="00566310">
        <w:rPr>
          <w:lang w:eastAsia="cs-CZ"/>
        </w:rPr>
        <w:t>38 976</w:t>
      </w:r>
      <w:r w:rsidRPr="00566310">
        <w:rPr>
          <w:lang w:eastAsia="cs-CZ"/>
        </w:rPr>
        <w:t xml:space="preserve"> osob. V rámci podpory osob se zdravotním postižením byly vyplaceny dávky </w:t>
      </w:r>
      <w:r w:rsidR="00566310" w:rsidRPr="00566310">
        <w:rPr>
          <w:lang w:eastAsia="cs-CZ"/>
        </w:rPr>
        <w:t>46 734</w:t>
      </w:r>
      <w:r w:rsidR="00607044" w:rsidRPr="00566310">
        <w:rPr>
          <w:lang w:eastAsia="cs-CZ"/>
        </w:rPr>
        <w:t xml:space="preserve"> </w:t>
      </w:r>
      <w:r w:rsidRPr="00566310">
        <w:rPr>
          <w:lang w:eastAsia="cs-CZ"/>
        </w:rPr>
        <w:t>žadatelů</w:t>
      </w:r>
      <w:r w:rsidR="00607044" w:rsidRPr="00566310">
        <w:rPr>
          <w:lang w:eastAsia="cs-CZ"/>
        </w:rPr>
        <w:t>m v cel</w:t>
      </w:r>
      <w:r w:rsidR="004E5B92" w:rsidRPr="00566310">
        <w:rPr>
          <w:lang w:eastAsia="cs-CZ"/>
        </w:rPr>
        <w:t xml:space="preserve">kové výši </w:t>
      </w:r>
      <w:r w:rsidR="00DC442C" w:rsidRPr="00566310">
        <w:rPr>
          <w:lang w:eastAsia="cs-CZ"/>
        </w:rPr>
        <w:t>dosahující bezmála</w:t>
      </w:r>
      <w:r w:rsidR="00566310" w:rsidRPr="00566310">
        <w:rPr>
          <w:lang w:eastAsia="cs-CZ"/>
        </w:rPr>
        <w:t xml:space="preserve"> 163</w:t>
      </w:r>
      <w:r w:rsidRPr="00566310">
        <w:rPr>
          <w:lang w:eastAsia="cs-CZ"/>
        </w:rPr>
        <w:t xml:space="preserve"> mil.</w:t>
      </w:r>
      <w:r w:rsidR="00394B3C" w:rsidRPr="00566310">
        <w:rPr>
          <w:lang w:eastAsia="cs-CZ"/>
        </w:rPr>
        <w:t xml:space="preserve"> Kč. Největší množství žadatelů</w:t>
      </w:r>
      <w:r w:rsidR="00394B3C" w:rsidRPr="00566310">
        <w:rPr>
          <w:lang w:eastAsia="cs-CZ"/>
        </w:rPr>
        <w:br/>
      </w:r>
      <w:r w:rsidRPr="00566310">
        <w:rPr>
          <w:lang w:eastAsia="cs-CZ"/>
        </w:rPr>
        <w:t>i vynaložených prostředků tradičně zaznamenávají na pracovištích v T</w:t>
      </w:r>
      <w:r w:rsidR="00394B3C" w:rsidRPr="00566310">
        <w:rPr>
          <w:lang w:eastAsia="cs-CZ"/>
        </w:rPr>
        <w:t xml:space="preserve">eplicích, Ústí </w:t>
      </w:r>
      <w:r w:rsidR="00A041D7">
        <w:rPr>
          <w:lang w:eastAsia="cs-CZ"/>
        </w:rPr>
        <w:t xml:space="preserve">n. L., Mostě </w:t>
      </w:r>
      <w:r w:rsidRPr="00566310">
        <w:rPr>
          <w:lang w:eastAsia="cs-CZ"/>
        </w:rPr>
        <w:t>a Děčíně.</w:t>
      </w:r>
    </w:p>
    <w:p w:rsidR="00270A5C" w:rsidRPr="00566310" w:rsidRDefault="00270A5C" w:rsidP="00270A5C">
      <w:pPr>
        <w:spacing w:after="0" w:line="240" w:lineRule="auto"/>
        <w:jc w:val="both"/>
        <w:rPr>
          <w:lang w:eastAsia="cs-CZ"/>
        </w:rPr>
      </w:pPr>
    </w:p>
    <w:p w:rsidR="00036E9F" w:rsidRPr="00566310" w:rsidRDefault="002876E8" w:rsidP="00270A5C">
      <w:pPr>
        <w:spacing w:after="0" w:line="240" w:lineRule="auto"/>
        <w:ind w:firstLine="708"/>
        <w:rPr>
          <w:lang w:eastAsia="cs-CZ"/>
        </w:rPr>
      </w:pPr>
      <w:r w:rsidRPr="00566310">
        <w:rPr>
          <w:lang w:eastAsia="cs-CZ"/>
        </w:rPr>
        <w:t>Tabulka č. 7</w:t>
      </w:r>
      <w:r w:rsidR="00270A5C" w:rsidRPr="00566310">
        <w:rPr>
          <w:lang w:eastAsia="cs-CZ"/>
        </w:rPr>
        <w:t xml:space="preserve"> - Přehled </w:t>
      </w:r>
      <w:r w:rsidR="00166993" w:rsidRPr="00566310">
        <w:rPr>
          <w:lang w:eastAsia="cs-CZ"/>
        </w:rPr>
        <w:t>vyplacených dávek a</w:t>
      </w:r>
      <w:r w:rsidR="00270A5C" w:rsidRPr="00566310">
        <w:rPr>
          <w:lang w:eastAsia="cs-CZ"/>
        </w:rPr>
        <w:t xml:space="preserve"> prostředků v rámci NSD</w:t>
      </w:r>
    </w:p>
    <w:tbl>
      <w:tblPr>
        <w:tblW w:w="9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152"/>
        <w:gridCol w:w="1308"/>
        <w:gridCol w:w="1101"/>
        <w:gridCol w:w="1359"/>
        <w:gridCol w:w="1029"/>
        <w:gridCol w:w="1431"/>
      </w:tblGrid>
      <w:tr w:rsidR="00566310" w:rsidRPr="00566310" w:rsidTr="00475646">
        <w:trPr>
          <w:trHeight w:val="46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566310" w:rsidRDefault="003F4897" w:rsidP="001536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6631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Aktuální měsíc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F4897" w:rsidRPr="00566310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6631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státní sociální podpory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F4897" w:rsidRPr="00566310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6631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hmotné nouze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F4897" w:rsidRPr="00566310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6631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pro osoby se ZP</w:t>
            </w:r>
          </w:p>
        </w:tc>
      </w:tr>
      <w:tr w:rsidR="00566310" w:rsidRPr="00566310" w:rsidTr="00475646">
        <w:trPr>
          <w:trHeight w:val="14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566310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56631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566310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6310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566310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6310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566310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6310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566310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6310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566310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6310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566310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6310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566310" w:rsidRPr="00566310" w:rsidTr="000A3877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566310" w:rsidRDefault="000A3877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631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11 805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33 947 764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3 291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12 989 725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5 994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22 721 920</w:t>
            </w:r>
          </w:p>
        </w:tc>
      </w:tr>
      <w:tr w:rsidR="00566310" w:rsidRPr="00566310" w:rsidTr="000A3877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566310" w:rsidRDefault="000A3877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6310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8 218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22 288 884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2 855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11 261 218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4 112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14 430 100</w:t>
            </w:r>
          </w:p>
        </w:tc>
      </w:tr>
      <w:tr w:rsidR="00566310" w:rsidRPr="00566310" w:rsidTr="000A3877">
        <w:trPr>
          <w:trHeight w:val="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566310" w:rsidRDefault="000A3877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6310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3 496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8 830 422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1 125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4 761 507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66310" w:rsidRPr="00566310" w:rsidTr="000A3877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566310" w:rsidRDefault="000A3877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66310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3 301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9 599 705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1 353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5 434 604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2 192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566310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66310">
              <w:rPr>
                <w:rFonts w:ascii="Calibri" w:hAnsi="Calibri" w:cs="Calibri"/>
                <w:sz w:val="20"/>
                <w:szCs w:val="20"/>
              </w:rPr>
              <w:t>9 131 400</w:t>
            </w:r>
          </w:p>
        </w:tc>
      </w:tr>
      <w:tr w:rsidR="000A3877" w:rsidRPr="000A3877" w:rsidTr="000A3877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0A3877" w:rsidRDefault="000A3877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3877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1 950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5 723 376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747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3 058 783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A3877" w:rsidRPr="000A3877" w:rsidTr="000A3877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0A3877" w:rsidRDefault="000A3877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3877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1 137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3 097 223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794 422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A3877" w:rsidRPr="000A3877" w:rsidTr="000A3877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0A3877" w:rsidRDefault="000A3877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3877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4 067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13 327 274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948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3 467 656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3 865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12 248 200</w:t>
            </w:r>
          </w:p>
        </w:tc>
      </w:tr>
      <w:tr w:rsidR="000A3877" w:rsidRPr="000A3877" w:rsidTr="000A3877">
        <w:trPr>
          <w:trHeight w:val="10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0A3877" w:rsidRDefault="000A3877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3877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6 076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16 400 929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2 855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10 806 515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2 093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7 716 200</w:t>
            </w:r>
          </w:p>
        </w:tc>
      </w:tr>
      <w:tr w:rsidR="000A3877" w:rsidRPr="000A3877" w:rsidTr="000A3877">
        <w:trPr>
          <w:trHeight w:val="1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0A3877" w:rsidRDefault="000A3877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3877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5 390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15 860 194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1 585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6 518 910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2 173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7 821 800</w:t>
            </w:r>
          </w:p>
        </w:tc>
      </w:tr>
      <w:tr w:rsidR="000A3877" w:rsidRPr="000A3877" w:rsidTr="000A3877">
        <w:trPr>
          <w:trHeight w:val="15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0A3877" w:rsidRDefault="000A3877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3877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2 057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6 387 630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559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2 265 902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1 943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6 600 500</w:t>
            </w:r>
          </w:p>
        </w:tc>
      </w:tr>
      <w:tr w:rsidR="000A3877" w:rsidRPr="000A3877" w:rsidTr="000A3877">
        <w:trPr>
          <w:trHeight w:val="1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0A3877" w:rsidRDefault="000A3877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3877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12 470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33 519 230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5 464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20 843 831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4 090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14 572 466</w:t>
            </w:r>
          </w:p>
        </w:tc>
      </w:tr>
      <w:tr w:rsidR="000A3877" w:rsidRPr="000A3877" w:rsidTr="000A3877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0A3877" w:rsidRDefault="000A3877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3877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1 735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4 717 526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565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2 265 335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849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3 142 310</w:t>
            </w:r>
          </w:p>
        </w:tc>
      </w:tr>
      <w:tr w:rsidR="000A3877" w:rsidRPr="000A3877" w:rsidTr="000A3877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0A3877" w:rsidRDefault="000A3877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3877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2 679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8 739 925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980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4 262 979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1 562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5 179 800</w:t>
            </w:r>
          </w:p>
        </w:tc>
      </w:tr>
      <w:tr w:rsidR="000A3877" w:rsidRPr="000A3877" w:rsidTr="000A3877">
        <w:trPr>
          <w:trHeight w:val="12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0A3877" w:rsidRDefault="000A3877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3877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5 488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13 867 557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1 462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5 939 441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2 530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10 232 675</w:t>
            </w:r>
          </w:p>
        </w:tc>
      </w:tr>
      <w:tr w:rsidR="000A3877" w:rsidRPr="000A3877" w:rsidTr="000A3877">
        <w:trPr>
          <w:trHeight w:val="15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0A3877" w:rsidRDefault="000A3877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3877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2 002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5 546 320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1 021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3 848 733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A3877" w:rsidRPr="000A3877" w:rsidTr="000A3877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0A3877" w:rsidRDefault="000A3877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3877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16 691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48 028 168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4 712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20 189 404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7 842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24 508 531</w:t>
            </w:r>
          </w:p>
        </w:tc>
      </w:tr>
      <w:tr w:rsidR="000A3877" w:rsidRPr="000A3877" w:rsidTr="000A3877">
        <w:trPr>
          <w:trHeight w:val="79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0A3877" w:rsidRDefault="000A3877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387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15 672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44 046 825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7 097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30 887 137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4 801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14 870 950</w:t>
            </w:r>
          </w:p>
        </w:tc>
      </w:tr>
      <w:tr w:rsidR="000A3877" w:rsidRPr="000A3877" w:rsidTr="000A3877">
        <w:trPr>
          <w:trHeight w:val="11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0A3877" w:rsidRDefault="000A3877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3877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3 167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8 239 382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909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1 440 007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978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0A3877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A3877">
              <w:rPr>
                <w:rFonts w:ascii="Calibri" w:hAnsi="Calibri" w:cs="Calibri"/>
                <w:sz w:val="20"/>
                <w:szCs w:val="20"/>
              </w:rPr>
              <w:t>3 125 800</w:t>
            </w:r>
          </w:p>
        </w:tc>
      </w:tr>
      <w:tr w:rsidR="000A3877" w:rsidRPr="008A7505" w:rsidTr="000A3877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8A7505" w:rsidRDefault="000A3877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A7505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8A7505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7505">
              <w:rPr>
                <w:rFonts w:ascii="Calibri" w:hAnsi="Calibri" w:cs="Calibri"/>
                <w:sz w:val="20"/>
                <w:szCs w:val="20"/>
              </w:rPr>
              <w:t>3 224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8A7505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7505">
              <w:rPr>
                <w:rFonts w:ascii="Calibri" w:hAnsi="Calibri" w:cs="Calibri"/>
                <w:sz w:val="20"/>
                <w:szCs w:val="20"/>
              </w:rPr>
              <w:t>9 578 925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8A7505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7505">
              <w:rPr>
                <w:rFonts w:ascii="Calibri" w:hAnsi="Calibri" w:cs="Calibri"/>
                <w:sz w:val="20"/>
                <w:szCs w:val="20"/>
              </w:rPr>
              <w:t>1 271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8A7505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7505">
              <w:rPr>
                <w:rFonts w:ascii="Calibri" w:hAnsi="Calibri" w:cs="Calibri"/>
                <w:sz w:val="20"/>
                <w:szCs w:val="20"/>
              </w:rPr>
              <w:t>5 460 773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8A7505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7505">
              <w:rPr>
                <w:rFonts w:ascii="Calibri" w:hAnsi="Calibri" w:cs="Calibri"/>
                <w:sz w:val="20"/>
                <w:szCs w:val="20"/>
              </w:rPr>
              <w:t>1 710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8A7505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7505">
              <w:rPr>
                <w:rFonts w:ascii="Calibri" w:hAnsi="Calibri" w:cs="Calibri"/>
                <w:sz w:val="20"/>
                <w:szCs w:val="20"/>
              </w:rPr>
              <w:t>6 507 000</w:t>
            </w:r>
          </w:p>
        </w:tc>
      </w:tr>
      <w:tr w:rsidR="000A3877" w:rsidRPr="008A7505" w:rsidTr="000A3877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8A7505" w:rsidRDefault="000A3877" w:rsidP="00BB234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75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8A7505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7505">
              <w:rPr>
                <w:rFonts w:ascii="Calibri" w:hAnsi="Calibri" w:cs="Calibri"/>
                <w:b/>
                <w:bCs/>
                <w:sz w:val="20"/>
                <w:szCs w:val="20"/>
              </w:rPr>
              <w:t>110 625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8A7505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7505">
              <w:rPr>
                <w:rFonts w:ascii="Calibri" w:hAnsi="Calibri" w:cs="Calibri"/>
                <w:b/>
                <w:bCs/>
                <w:sz w:val="20"/>
                <w:szCs w:val="20"/>
              </w:rPr>
              <w:t>311 747 259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8A7505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7505">
              <w:rPr>
                <w:rFonts w:ascii="Calibri" w:hAnsi="Calibri" w:cs="Calibri"/>
                <w:b/>
                <w:bCs/>
                <w:sz w:val="20"/>
                <w:szCs w:val="20"/>
              </w:rPr>
              <w:t>38 976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8A7505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7505">
              <w:rPr>
                <w:rFonts w:ascii="Calibri" w:hAnsi="Calibri" w:cs="Calibri"/>
                <w:b/>
                <w:bCs/>
                <w:sz w:val="20"/>
                <w:szCs w:val="20"/>
              </w:rPr>
              <w:t>156 496 882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8A7505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7505">
              <w:rPr>
                <w:rFonts w:ascii="Calibri" w:hAnsi="Calibri" w:cs="Calibri"/>
                <w:b/>
                <w:bCs/>
                <w:sz w:val="20"/>
                <w:szCs w:val="20"/>
              </w:rPr>
              <w:t>46 734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8A7505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7505">
              <w:rPr>
                <w:rFonts w:ascii="Calibri" w:hAnsi="Calibri" w:cs="Calibri"/>
                <w:b/>
                <w:bCs/>
                <w:sz w:val="20"/>
                <w:szCs w:val="20"/>
              </w:rPr>
              <w:t>162 809 652</w:t>
            </w:r>
          </w:p>
        </w:tc>
      </w:tr>
    </w:tbl>
    <w:p w:rsidR="0034384E" w:rsidRPr="008A7505" w:rsidRDefault="0034384E" w:rsidP="009E559B">
      <w:pPr>
        <w:spacing w:after="0" w:line="240" w:lineRule="auto"/>
        <w:rPr>
          <w:lang w:eastAsia="cs-CZ"/>
        </w:rPr>
      </w:pPr>
    </w:p>
    <w:p w:rsidR="00262340" w:rsidRPr="00DA1CC9" w:rsidRDefault="00262340" w:rsidP="00262340">
      <w:pPr>
        <w:spacing w:after="0" w:line="240" w:lineRule="auto"/>
        <w:jc w:val="both"/>
        <w:rPr>
          <w:lang w:eastAsia="cs-CZ"/>
        </w:rPr>
      </w:pPr>
      <w:r w:rsidRPr="008A7505">
        <w:rPr>
          <w:lang w:eastAsia="cs-CZ"/>
        </w:rPr>
        <w:tab/>
      </w:r>
      <w:r w:rsidRPr="008A7505">
        <w:rPr>
          <w:b/>
          <w:lang w:eastAsia="cs-CZ"/>
        </w:rPr>
        <w:t>Od začátku roku</w:t>
      </w:r>
      <w:r w:rsidRPr="008A7505">
        <w:rPr>
          <w:lang w:eastAsia="cs-CZ"/>
        </w:rPr>
        <w:t xml:space="preserve"> bylo celkem podpořeno </w:t>
      </w:r>
      <w:r w:rsidR="00566310" w:rsidRPr="008A7505">
        <w:rPr>
          <w:b/>
          <w:lang w:eastAsia="cs-CZ"/>
        </w:rPr>
        <w:t>1 163 991</w:t>
      </w:r>
      <w:r w:rsidRPr="008A7505">
        <w:rPr>
          <w:b/>
          <w:lang w:eastAsia="cs-CZ"/>
        </w:rPr>
        <w:t xml:space="preserve"> žadatelů </w:t>
      </w:r>
      <w:r w:rsidRPr="008A7505">
        <w:rPr>
          <w:lang w:eastAsia="cs-CZ"/>
        </w:rPr>
        <w:t>o některou z dávek</w:t>
      </w:r>
      <w:r w:rsidR="00394B3C" w:rsidRPr="008A7505">
        <w:rPr>
          <w:b/>
          <w:lang w:eastAsia="cs-CZ"/>
        </w:rPr>
        <w:t xml:space="preserve"> a vyplacená částka </w:t>
      </w:r>
      <w:r w:rsidR="00566310" w:rsidRPr="008A7505">
        <w:rPr>
          <w:b/>
          <w:lang w:eastAsia="cs-CZ"/>
        </w:rPr>
        <w:t>přesáhla</w:t>
      </w:r>
      <w:r w:rsidR="00394B3C" w:rsidRPr="008A7505">
        <w:rPr>
          <w:b/>
          <w:lang w:eastAsia="cs-CZ"/>
        </w:rPr>
        <w:t xml:space="preserve"> </w:t>
      </w:r>
      <w:r w:rsidR="00566310" w:rsidRPr="008A7505">
        <w:rPr>
          <w:b/>
          <w:lang w:eastAsia="cs-CZ"/>
        </w:rPr>
        <w:t>3,7</w:t>
      </w:r>
      <w:r w:rsidRPr="008A7505">
        <w:rPr>
          <w:b/>
          <w:lang w:eastAsia="cs-CZ"/>
        </w:rPr>
        <w:t xml:space="preserve"> mld. Kč. </w:t>
      </w:r>
      <w:r w:rsidRPr="008A7505">
        <w:rPr>
          <w:lang w:eastAsia="cs-CZ"/>
        </w:rPr>
        <w:t xml:space="preserve">Nejvíce podpořených </w:t>
      </w:r>
      <w:r w:rsidR="008019F5" w:rsidRPr="008A7505">
        <w:rPr>
          <w:lang w:eastAsia="cs-CZ"/>
        </w:rPr>
        <w:t>žadatelů</w:t>
      </w:r>
      <w:r w:rsidRPr="008A7505">
        <w:rPr>
          <w:lang w:eastAsia="cs-CZ"/>
        </w:rPr>
        <w:t xml:space="preserve"> je </w:t>
      </w:r>
      <w:r w:rsidR="008A7505" w:rsidRPr="008A7505">
        <w:rPr>
          <w:lang w:eastAsia="cs-CZ"/>
        </w:rPr>
        <w:t>prostřednictvím</w:t>
      </w:r>
      <w:r w:rsidRPr="008A7505">
        <w:rPr>
          <w:lang w:eastAsia="cs-CZ"/>
        </w:rPr>
        <w:t xml:space="preserve"> dávek státní sociální podpory</w:t>
      </w:r>
      <w:r w:rsidR="00B019D2" w:rsidRPr="008A7505">
        <w:rPr>
          <w:lang w:eastAsia="cs-CZ"/>
        </w:rPr>
        <w:t>,</w:t>
      </w:r>
      <w:r w:rsidR="008A7505" w:rsidRPr="008A7505">
        <w:rPr>
          <w:lang w:eastAsia="cs-CZ"/>
        </w:rPr>
        <w:br/>
      </w:r>
      <w:r w:rsidR="00B019D2" w:rsidRPr="008A7505">
        <w:rPr>
          <w:lang w:eastAsia="cs-CZ"/>
        </w:rPr>
        <w:t xml:space="preserve">kdy </w:t>
      </w:r>
      <w:r w:rsidR="008019F5" w:rsidRPr="008A7505">
        <w:rPr>
          <w:lang w:eastAsia="cs-CZ"/>
        </w:rPr>
        <w:t xml:space="preserve">od začátku roku bylo podpořeno </w:t>
      </w:r>
      <w:r w:rsidR="008A7505" w:rsidRPr="008A7505">
        <w:rPr>
          <w:lang w:eastAsia="cs-CZ"/>
        </w:rPr>
        <w:t>649 095</w:t>
      </w:r>
      <w:r w:rsidR="008019F5" w:rsidRPr="008A7505">
        <w:rPr>
          <w:lang w:eastAsia="cs-CZ"/>
        </w:rPr>
        <w:t xml:space="preserve"> osob a jejich podíl tak </w:t>
      </w:r>
      <w:r w:rsidR="00F021B8" w:rsidRPr="008A7505">
        <w:rPr>
          <w:lang w:eastAsia="cs-CZ"/>
        </w:rPr>
        <w:t>dosáhl 56</w:t>
      </w:r>
      <w:r w:rsidR="008019F5" w:rsidRPr="008A7505">
        <w:rPr>
          <w:lang w:eastAsia="cs-CZ"/>
        </w:rPr>
        <w:t xml:space="preserve"> % všech žadatelů. Množství </w:t>
      </w:r>
      <w:r w:rsidR="008019F5" w:rsidRPr="008A7505">
        <w:rPr>
          <w:lang w:eastAsia="cs-CZ"/>
        </w:rPr>
        <w:lastRenderedPageBreak/>
        <w:t>vyplacených p</w:t>
      </w:r>
      <w:r w:rsidR="00F021B8" w:rsidRPr="008A7505">
        <w:rPr>
          <w:lang w:eastAsia="cs-CZ"/>
        </w:rPr>
        <w:t>eněz</w:t>
      </w:r>
      <w:r w:rsidR="008019F5" w:rsidRPr="008A7505">
        <w:rPr>
          <w:lang w:eastAsia="cs-CZ"/>
        </w:rPr>
        <w:t xml:space="preserve"> prostřednictvím této dávky </w:t>
      </w:r>
      <w:r w:rsidR="00B019D2" w:rsidRPr="008A7505">
        <w:rPr>
          <w:lang w:eastAsia="cs-CZ"/>
        </w:rPr>
        <w:t>přesáhlo</w:t>
      </w:r>
      <w:r w:rsidR="008019F5" w:rsidRPr="008A7505">
        <w:rPr>
          <w:lang w:eastAsia="cs-CZ"/>
        </w:rPr>
        <w:t xml:space="preserve"> </w:t>
      </w:r>
      <w:r w:rsidR="008A7505" w:rsidRPr="008A7505">
        <w:rPr>
          <w:lang w:eastAsia="cs-CZ"/>
        </w:rPr>
        <w:t>1,8</w:t>
      </w:r>
      <w:r w:rsidR="00ED2397" w:rsidRPr="008A7505">
        <w:rPr>
          <w:lang w:eastAsia="cs-CZ"/>
        </w:rPr>
        <w:t xml:space="preserve"> mld</w:t>
      </w:r>
      <w:r w:rsidR="008019F5" w:rsidRPr="008A7505">
        <w:rPr>
          <w:lang w:eastAsia="cs-CZ"/>
        </w:rPr>
        <w:t xml:space="preserve">. Kč a činilo </w:t>
      </w:r>
      <w:r w:rsidR="00CB3AE5" w:rsidRPr="008A7505">
        <w:rPr>
          <w:lang w:eastAsia="cs-CZ"/>
        </w:rPr>
        <w:t xml:space="preserve">přibližně </w:t>
      </w:r>
      <w:r w:rsidR="00394B3C" w:rsidRPr="008A7505">
        <w:rPr>
          <w:lang w:eastAsia="cs-CZ"/>
        </w:rPr>
        <w:t xml:space="preserve">49 </w:t>
      </w:r>
      <w:r w:rsidR="008019F5" w:rsidRPr="008A7505">
        <w:rPr>
          <w:lang w:eastAsia="cs-CZ"/>
        </w:rPr>
        <w:t xml:space="preserve">% všech uhrazených </w:t>
      </w:r>
      <w:r w:rsidR="00F021B8" w:rsidRPr="008A7505">
        <w:rPr>
          <w:lang w:eastAsia="cs-CZ"/>
        </w:rPr>
        <w:t xml:space="preserve">prostředků. </w:t>
      </w:r>
      <w:r w:rsidR="00394B3C" w:rsidRPr="008A7505">
        <w:rPr>
          <w:lang w:eastAsia="cs-CZ"/>
        </w:rPr>
        <w:t xml:space="preserve">Nejnižší podíl podpořených osob tvoří žadatelé o dávky </w:t>
      </w:r>
      <w:r w:rsidR="00F021B8" w:rsidRPr="008A7505">
        <w:rPr>
          <w:lang w:eastAsia="cs-CZ"/>
        </w:rPr>
        <w:t>hmotné nouze</w:t>
      </w:r>
      <w:r w:rsidR="00394B3C" w:rsidRPr="008A7505">
        <w:rPr>
          <w:lang w:eastAsia="cs-CZ"/>
        </w:rPr>
        <w:t>, které</w:t>
      </w:r>
      <w:r w:rsidR="00F021B8" w:rsidRPr="008A7505">
        <w:rPr>
          <w:lang w:eastAsia="cs-CZ"/>
        </w:rPr>
        <w:t xml:space="preserve"> v průběhu letošního roku pobralo </w:t>
      </w:r>
      <w:r w:rsidR="008A7505" w:rsidRPr="008A7505">
        <w:rPr>
          <w:lang w:eastAsia="cs-CZ"/>
        </w:rPr>
        <w:t>237 410</w:t>
      </w:r>
      <w:r w:rsidR="00760E3B" w:rsidRPr="008A7505">
        <w:rPr>
          <w:lang w:eastAsia="cs-CZ"/>
        </w:rPr>
        <w:t xml:space="preserve"> osob, což bylo </w:t>
      </w:r>
      <w:r w:rsidR="008A7505" w:rsidRPr="008A7505">
        <w:rPr>
          <w:lang w:eastAsia="cs-CZ"/>
        </w:rPr>
        <w:t>více než</w:t>
      </w:r>
      <w:r w:rsidR="00760E3B" w:rsidRPr="008A7505">
        <w:rPr>
          <w:lang w:eastAsia="cs-CZ"/>
        </w:rPr>
        <w:t xml:space="preserve"> 2</w:t>
      </w:r>
      <w:r w:rsidR="008A7505" w:rsidRPr="008A7505">
        <w:rPr>
          <w:lang w:eastAsia="cs-CZ"/>
        </w:rPr>
        <w:t>0</w:t>
      </w:r>
      <w:r w:rsidR="00F021B8" w:rsidRPr="008A7505">
        <w:rPr>
          <w:lang w:eastAsia="cs-CZ"/>
        </w:rPr>
        <w:t xml:space="preserve"> </w:t>
      </w:r>
      <w:r w:rsidR="00CB3AE5" w:rsidRPr="008A7505">
        <w:rPr>
          <w:lang w:eastAsia="cs-CZ"/>
        </w:rPr>
        <w:t xml:space="preserve">% všech </w:t>
      </w:r>
      <w:r w:rsidR="00760E3B" w:rsidRPr="008A7505">
        <w:rPr>
          <w:lang w:eastAsia="cs-CZ"/>
        </w:rPr>
        <w:t>žad</w:t>
      </w:r>
      <w:r w:rsidR="008A7505" w:rsidRPr="008A7505">
        <w:rPr>
          <w:lang w:eastAsia="cs-CZ"/>
        </w:rPr>
        <w:t>atelů o dávky. Uhrazeno bylo</w:t>
      </w:r>
      <w:r w:rsidR="008A7505" w:rsidRPr="008A7505">
        <w:rPr>
          <w:lang w:eastAsia="cs-CZ"/>
        </w:rPr>
        <w:br/>
        <w:t>956</w:t>
      </w:r>
      <w:r w:rsidR="00CB3AE5" w:rsidRPr="008A7505">
        <w:rPr>
          <w:lang w:eastAsia="cs-CZ"/>
        </w:rPr>
        <w:t xml:space="preserve"> </w:t>
      </w:r>
      <w:r w:rsidR="00F021B8" w:rsidRPr="008A7505">
        <w:rPr>
          <w:lang w:eastAsia="cs-CZ"/>
        </w:rPr>
        <w:t xml:space="preserve">mil. Kč, tj. 26 % celkem vynaložených prostředků. </w:t>
      </w:r>
      <w:r w:rsidR="00394B3C" w:rsidRPr="008A7505">
        <w:rPr>
          <w:lang w:eastAsia="cs-CZ"/>
        </w:rPr>
        <w:t xml:space="preserve">Prostřednictvím dávek </w:t>
      </w:r>
      <w:r w:rsidR="00F021B8" w:rsidRPr="008A7505">
        <w:rPr>
          <w:lang w:eastAsia="cs-CZ"/>
        </w:rPr>
        <w:t>pro osoby se ZP</w:t>
      </w:r>
      <w:r w:rsidR="001C7650" w:rsidRPr="008A7505">
        <w:rPr>
          <w:lang w:eastAsia="cs-CZ"/>
        </w:rPr>
        <w:t xml:space="preserve"> bylo</w:t>
      </w:r>
      <w:r w:rsidR="001C7650" w:rsidRPr="008A7505">
        <w:rPr>
          <w:lang w:eastAsia="cs-CZ"/>
        </w:rPr>
        <w:br/>
      </w:r>
      <w:r w:rsidR="00394B3C" w:rsidRPr="008A7505">
        <w:rPr>
          <w:lang w:eastAsia="cs-CZ"/>
        </w:rPr>
        <w:t xml:space="preserve">od začátku roku </w:t>
      </w:r>
      <w:r w:rsidR="00394B3C" w:rsidRPr="00DA1CC9">
        <w:rPr>
          <w:lang w:eastAsia="cs-CZ"/>
        </w:rPr>
        <w:t>podpořeno</w:t>
      </w:r>
      <w:r w:rsidR="00F021B8" w:rsidRPr="00DA1CC9">
        <w:rPr>
          <w:lang w:eastAsia="cs-CZ"/>
        </w:rPr>
        <w:t xml:space="preserve"> </w:t>
      </w:r>
      <w:r w:rsidR="008A7505" w:rsidRPr="00DA1CC9">
        <w:rPr>
          <w:lang w:eastAsia="cs-CZ"/>
        </w:rPr>
        <w:t>277 486</w:t>
      </w:r>
      <w:r w:rsidR="00394B3C" w:rsidRPr="00DA1CC9">
        <w:rPr>
          <w:lang w:eastAsia="cs-CZ"/>
        </w:rPr>
        <w:t xml:space="preserve"> osob</w:t>
      </w:r>
      <w:r w:rsidR="00F021B8" w:rsidRPr="00DA1CC9">
        <w:rPr>
          <w:lang w:eastAsia="cs-CZ"/>
        </w:rPr>
        <w:t xml:space="preserve">, což je přibližně 24 % všech žadatelů. </w:t>
      </w:r>
      <w:r w:rsidR="001C7650" w:rsidRPr="00DA1CC9">
        <w:rPr>
          <w:lang w:eastAsia="cs-CZ"/>
        </w:rPr>
        <w:t>Vynaložené</w:t>
      </w:r>
      <w:r w:rsidR="00B37E7A" w:rsidRPr="00DA1CC9">
        <w:rPr>
          <w:lang w:eastAsia="cs-CZ"/>
        </w:rPr>
        <w:t xml:space="preserve"> prostředky prost</w:t>
      </w:r>
      <w:r w:rsidR="001C7650" w:rsidRPr="00DA1CC9">
        <w:rPr>
          <w:lang w:eastAsia="cs-CZ"/>
        </w:rPr>
        <w:t>řednictvím těchto dávek tvoří 25</w:t>
      </w:r>
      <w:r w:rsidR="00B37E7A" w:rsidRPr="00DA1CC9">
        <w:rPr>
          <w:lang w:eastAsia="cs-CZ"/>
        </w:rPr>
        <w:t xml:space="preserve"> % a c</w:t>
      </w:r>
      <w:r w:rsidR="00F021B8" w:rsidRPr="00DA1CC9">
        <w:rPr>
          <w:lang w:eastAsia="cs-CZ"/>
        </w:rPr>
        <w:t xml:space="preserve">elkem </w:t>
      </w:r>
      <w:r w:rsidR="00B37E7A" w:rsidRPr="00DA1CC9">
        <w:rPr>
          <w:lang w:eastAsia="cs-CZ"/>
        </w:rPr>
        <w:t>bylo v letošním roce uhrazeno</w:t>
      </w:r>
      <w:r w:rsidR="00CB3AE5" w:rsidRPr="00DA1CC9">
        <w:rPr>
          <w:lang w:eastAsia="cs-CZ"/>
        </w:rPr>
        <w:t xml:space="preserve"> </w:t>
      </w:r>
      <w:r w:rsidR="008A7505" w:rsidRPr="00DA1CC9">
        <w:rPr>
          <w:lang w:eastAsia="cs-CZ"/>
        </w:rPr>
        <w:t>bezmála</w:t>
      </w:r>
      <w:r w:rsidR="00F021B8" w:rsidRPr="00DA1CC9">
        <w:rPr>
          <w:lang w:eastAsia="cs-CZ"/>
        </w:rPr>
        <w:t xml:space="preserve"> </w:t>
      </w:r>
      <w:r w:rsidR="008A7505" w:rsidRPr="00DA1CC9">
        <w:rPr>
          <w:lang w:eastAsia="cs-CZ"/>
        </w:rPr>
        <w:t>934</w:t>
      </w:r>
      <w:r w:rsidR="00F021B8" w:rsidRPr="00DA1CC9">
        <w:rPr>
          <w:lang w:eastAsia="cs-CZ"/>
        </w:rPr>
        <w:t xml:space="preserve"> mil. Kč</w:t>
      </w:r>
      <w:r w:rsidR="00B37E7A" w:rsidRPr="00DA1CC9">
        <w:rPr>
          <w:lang w:eastAsia="cs-CZ"/>
        </w:rPr>
        <w:t>.</w:t>
      </w:r>
    </w:p>
    <w:p w:rsidR="00B37E7A" w:rsidRPr="00DA1CC9" w:rsidRDefault="00B37E7A" w:rsidP="00262340">
      <w:pPr>
        <w:spacing w:after="0" w:line="240" w:lineRule="auto"/>
        <w:jc w:val="both"/>
        <w:rPr>
          <w:lang w:eastAsia="cs-CZ"/>
        </w:rPr>
      </w:pPr>
    </w:p>
    <w:tbl>
      <w:tblPr>
        <w:tblW w:w="9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152"/>
        <w:gridCol w:w="1308"/>
        <w:gridCol w:w="1101"/>
        <w:gridCol w:w="1359"/>
        <w:gridCol w:w="1029"/>
        <w:gridCol w:w="1431"/>
      </w:tblGrid>
      <w:tr w:rsidR="000A3877" w:rsidRPr="00DA1CC9" w:rsidTr="00687D54">
        <w:trPr>
          <w:trHeight w:val="46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536EB" w:rsidRPr="00DA1CC9" w:rsidRDefault="001536EB" w:rsidP="001536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536EB" w:rsidRPr="00DA1CC9" w:rsidRDefault="001536EB" w:rsidP="00687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státní sociální podpory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536EB" w:rsidRPr="00DA1CC9" w:rsidRDefault="001536EB" w:rsidP="00687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hmotné nouze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536EB" w:rsidRPr="00DA1CC9" w:rsidRDefault="001536EB" w:rsidP="00687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pro osoby se ZP</w:t>
            </w:r>
          </w:p>
        </w:tc>
      </w:tr>
      <w:tr w:rsidR="000A3877" w:rsidRPr="00DA1CC9" w:rsidTr="00687D54">
        <w:trPr>
          <w:trHeight w:val="14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536EB" w:rsidRPr="00DA1CC9" w:rsidRDefault="001536EB" w:rsidP="00687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A1C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536EB" w:rsidRPr="00DA1CC9" w:rsidRDefault="001536EB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536EB" w:rsidRPr="00DA1CC9" w:rsidRDefault="001536EB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536EB" w:rsidRPr="00DA1CC9" w:rsidRDefault="001536EB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536EB" w:rsidRPr="00DA1CC9" w:rsidRDefault="001536EB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536EB" w:rsidRPr="00DA1CC9" w:rsidRDefault="001536EB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536EB" w:rsidRPr="00DA1CC9" w:rsidRDefault="001536EB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0A3877" w:rsidRPr="00DA1CC9" w:rsidTr="000A3877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69 951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200 408 902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20 492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78 864 488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35 123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128 425 259</w:t>
            </w:r>
          </w:p>
        </w:tc>
      </w:tr>
      <w:tr w:rsidR="000A3877" w:rsidRPr="00DA1CC9" w:rsidTr="000A3877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47 144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128 210 044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17 044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68 002 436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24 017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83 702 127</w:t>
            </w:r>
          </w:p>
        </w:tc>
      </w:tr>
      <w:tr w:rsidR="000A3877" w:rsidRPr="00DA1CC9" w:rsidTr="000A3877">
        <w:trPr>
          <w:trHeight w:val="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20 524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71 811 473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6 719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28 103 322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A3877" w:rsidRPr="00DA1CC9" w:rsidTr="000A3877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19 766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56 938 810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8 308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33 327 073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12 620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49 054 388</w:t>
            </w:r>
          </w:p>
        </w:tc>
      </w:tr>
      <w:tr w:rsidR="000A3877" w:rsidRPr="00DA1CC9" w:rsidTr="000A3877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11 426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32 486 769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4 683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19 013 088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A3877" w:rsidRPr="00DA1CC9" w:rsidTr="000A3877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6 825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18 841 100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1 106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4 762 995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A3877" w:rsidRPr="00DA1CC9" w:rsidTr="000A3877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24 016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79 226 712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5 765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21 713 455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24 085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78 983 234</w:t>
            </w:r>
          </w:p>
        </w:tc>
      </w:tr>
      <w:tr w:rsidR="000A3877" w:rsidRPr="00DA1CC9" w:rsidTr="000A3877">
        <w:trPr>
          <w:trHeight w:val="10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35 044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94 089 496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17 367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65 927 969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12 483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46 998 627</w:t>
            </w:r>
          </w:p>
        </w:tc>
      </w:tr>
      <w:tr w:rsidR="000A3877" w:rsidRPr="00DA1CC9" w:rsidTr="000A3877">
        <w:trPr>
          <w:trHeight w:val="1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31 903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92 606 656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9 393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38 742 025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12 972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47 635 433</w:t>
            </w:r>
          </w:p>
        </w:tc>
      </w:tr>
      <w:tr w:rsidR="000A3877" w:rsidRPr="00DA1CC9" w:rsidTr="000A3877">
        <w:trPr>
          <w:trHeight w:val="15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11 882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37 046 946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3 664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14 978 985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11 626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38 174 715</w:t>
            </w:r>
          </w:p>
        </w:tc>
      </w:tr>
      <w:tr w:rsidR="000A3877" w:rsidRPr="00DA1CC9" w:rsidTr="000A3877">
        <w:trPr>
          <w:trHeight w:val="1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72 702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194 296 704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31 137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119 614 431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24 045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81 776 017</w:t>
            </w:r>
          </w:p>
        </w:tc>
      </w:tr>
      <w:tr w:rsidR="000A3877" w:rsidRPr="00DA1CC9" w:rsidTr="000A3877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10 377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28 583 928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3 313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13 662 881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5 136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17 779 644</w:t>
            </w:r>
          </w:p>
        </w:tc>
      </w:tr>
      <w:tr w:rsidR="000A3877" w:rsidRPr="00DA1CC9" w:rsidTr="000A3877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15 832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52 021 241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5 502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23 630 293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9 512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31 970 700</w:t>
            </w:r>
          </w:p>
        </w:tc>
      </w:tr>
      <w:tr w:rsidR="000A3877" w:rsidRPr="00DA1CC9" w:rsidTr="000A3877">
        <w:trPr>
          <w:trHeight w:val="12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32 476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82 440 347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8 957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36 807 700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15 443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54 500 525</w:t>
            </w:r>
          </w:p>
        </w:tc>
      </w:tr>
      <w:tr w:rsidR="000A3877" w:rsidRPr="00DA1CC9" w:rsidTr="000A3877">
        <w:trPr>
          <w:trHeight w:val="15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11 724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32 923 445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6 013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23 365 200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A3877" w:rsidRPr="00DA1CC9" w:rsidTr="000A3877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98 035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283 965 090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32 171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127 031 117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46 570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137 513 653</w:t>
            </w:r>
          </w:p>
        </w:tc>
      </w:tr>
      <w:tr w:rsidR="000A3877" w:rsidRPr="00DA1CC9" w:rsidTr="000A3877">
        <w:trPr>
          <w:trHeight w:val="79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91 357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253 846 935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42 663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186 048 709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28 098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81 192 402</w:t>
            </w:r>
          </w:p>
        </w:tc>
      </w:tr>
      <w:tr w:rsidR="000A3877" w:rsidRPr="00DA1CC9" w:rsidTr="000A3877">
        <w:trPr>
          <w:trHeight w:val="11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19 062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50 007 998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5 585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20 043 997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5 813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18 585 000</w:t>
            </w:r>
          </w:p>
        </w:tc>
      </w:tr>
      <w:tr w:rsidR="000A3877" w:rsidRPr="00DA1CC9" w:rsidTr="000A3877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19 049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56 808 679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7 528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32 793 523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9 943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1CC9">
              <w:rPr>
                <w:rFonts w:ascii="Calibri" w:hAnsi="Calibri" w:cs="Calibri"/>
                <w:sz w:val="20"/>
                <w:szCs w:val="20"/>
              </w:rPr>
              <w:t>37 679 671</w:t>
            </w:r>
          </w:p>
        </w:tc>
      </w:tr>
      <w:tr w:rsidR="000A3877" w:rsidRPr="00DA1CC9" w:rsidTr="000A3877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687D5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A1CC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1CC9">
              <w:rPr>
                <w:rFonts w:ascii="Calibri" w:hAnsi="Calibri" w:cs="Calibri"/>
                <w:b/>
                <w:bCs/>
                <w:sz w:val="20"/>
                <w:szCs w:val="20"/>
              </w:rPr>
              <w:t>649 095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1CC9">
              <w:rPr>
                <w:rFonts w:ascii="Calibri" w:hAnsi="Calibri" w:cs="Calibri"/>
                <w:b/>
                <w:bCs/>
                <w:sz w:val="20"/>
                <w:szCs w:val="20"/>
              </w:rPr>
              <w:t>1 846 561 275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1CC9">
              <w:rPr>
                <w:rFonts w:ascii="Calibri" w:hAnsi="Calibri" w:cs="Calibri"/>
                <w:b/>
                <w:bCs/>
                <w:sz w:val="20"/>
                <w:szCs w:val="20"/>
              </w:rPr>
              <w:t>237 410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1CC9">
              <w:rPr>
                <w:rFonts w:ascii="Calibri" w:hAnsi="Calibri" w:cs="Calibri"/>
                <w:b/>
                <w:bCs/>
                <w:sz w:val="20"/>
                <w:szCs w:val="20"/>
              </w:rPr>
              <w:t>956 433 687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1CC9">
              <w:rPr>
                <w:rFonts w:ascii="Calibri" w:hAnsi="Calibri" w:cs="Calibri"/>
                <w:b/>
                <w:bCs/>
                <w:sz w:val="20"/>
                <w:szCs w:val="20"/>
              </w:rPr>
              <w:t>277 486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A3877" w:rsidRPr="00DA1CC9" w:rsidRDefault="000A3877" w:rsidP="000A3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1CC9">
              <w:rPr>
                <w:rFonts w:ascii="Calibri" w:hAnsi="Calibri" w:cs="Calibri"/>
                <w:b/>
                <w:bCs/>
                <w:sz w:val="20"/>
                <w:szCs w:val="20"/>
              </w:rPr>
              <w:t>933 971 395</w:t>
            </w:r>
          </w:p>
        </w:tc>
      </w:tr>
    </w:tbl>
    <w:p w:rsidR="001536EB" w:rsidRPr="00DA1CC9" w:rsidRDefault="001536EB" w:rsidP="009E559B">
      <w:pPr>
        <w:spacing w:after="0" w:line="240" w:lineRule="auto"/>
        <w:rPr>
          <w:lang w:eastAsia="cs-CZ"/>
        </w:rPr>
      </w:pPr>
    </w:p>
    <w:p w:rsidR="00AB2108" w:rsidRPr="00DA1CC9" w:rsidRDefault="002876E8" w:rsidP="00FD376E">
      <w:pPr>
        <w:pStyle w:val="Nadpis1"/>
        <w:rPr>
          <w:b/>
          <w:caps/>
          <w:szCs w:val="22"/>
        </w:rPr>
      </w:pPr>
      <w:bookmarkStart w:id="6" w:name="_Toc393271595"/>
      <w:r w:rsidRPr="00DA1CC9">
        <w:rPr>
          <w:b/>
          <w:caps/>
          <w:szCs w:val="22"/>
        </w:rPr>
        <w:t>6</w:t>
      </w:r>
      <w:r w:rsidR="00AB2108" w:rsidRPr="00DA1CC9">
        <w:rPr>
          <w:b/>
          <w:caps/>
          <w:szCs w:val="22"/>
        </w:rPr>
        <w:t xml:space="preserve">. </w:t>
      </w:r>
      <w:r w:rsidR="00C525FC" w:rsidRPr="00DA1CC9">
        <w:rPr>
          <w:b/>
          <w:caps/>
          <w:szCs w:val="22"/>
        </w:rPr>
        <w:t xml:space="preserve">projekty </w:t>
      </w:r>
      <w:r w:rsidR="005A44FE" w:rsidRPr="00DA1CC9">
        <w:rPr>
          <w:b/>
          <w:caps/>
          <w:szCs w:val="22"/>
        </w:rPr>
        <w:t xml:space="preserve">spolufinancované </w:t>
      </w:r>
      <w:r w:rsidR="00C525FC" w:rsidRPr="00DA1CC9">
        <w:rPr>
          <w:b/>
          <w:caps/>
          <w:szCs w:val="22"/>
        </w:rPr>
        <w:t>z</w:t>
      </w:r>
      <w:r w:rsidR="005A44FE" w:rsidRPr="00DA1CC9">
        <w:rPr>
          <w:b/>
          <w:caps/>
          <w:szCs w:val="22"/>
        </w:rPr>
        <w:t> </w:t>
      </w:r>
      <w:r w:rsidR="00C525FC" w:rsidRPr="00DA1CC9">
        <w:rPr>
          <w:b/>
          <w:caps/>
          <w:szCs w:val="22"/>
        </w:rPr>
        <w:t>esf</w:t>
      </w:r>
      <w:r w:rsidR="005A44FE" w:rsidRPr="00DA1CC9">
        <w:rPr>
          <w:b/>
          <w:caps/>
          <w:szCs w:val="22"/>
        </w:rPr>
        <w:t xml:space="preserve"> REALIZOVANÉ NA KRP ÚSTÍ NAD LABEM</w:t>
      </w:r>
      <w:bookmarkEnd w:id="6"/>
    </w:p>
    <w:p w:rsidR="009E559B" w:rsidRPr="00DA1CC9" w:rsidRDefault="009E559B" w:rsidP="003167D1">
      <w:pPr>
        <w:spacing w:after="0" w:line="240" w:lineRule="auto"/>
        <w:jc w:val="both"/>
        <w:rPr>
          <w:lang w:eastAsia="cs-CZ"/>
        </w:rPr>
      </w:pPr>
    </w:p>
    <w:p w:rsidR="00B63666" w:rsidRPr="00DA1CC9" w:rsidRDefault="00B63666" w:rsidP="00B63666">
      <w:pPr>
        <w:spacing w:after="0" w:line="240" w:lineRule="auto"/>
        <w:jc w:val="both"/>
        <w:rPr>
          <w:b/>
          <w:u w:val="single"/>
        </w:rPr>
      </w:pPr>
      <w:r w:rsidRPr="00DA1CC9">
        <w:rPr>
          <w:b/>
          <w:u w:val="single"/>
        </w:rPr>
        <w:t>Vzdělávejte se pro růst v Ústeckém kraji II</w:t>
      </w:r>
    </w:p>
    <w:p w:rsidR="00DA1CC9" w:rsidRDefault="00B63666" w:rsidP="00B63666">
      <w:pPr>
        <w:spacing w:after="0" w:line="240" w:lineRule="auto"/>
        <w:ind w:firstLine="708"/>
        <w:jc w:val="both"/>
      </w:pPr>
      <w:r w:rsidRPr="00DA1CC9">
        <w:t>Projekt „Vzdělávejte se pro růst v Ústeckém kraji II“, je zaměřen na podporu zaměstnavatelů</w:t>
      </w:r>
      <w:r w:rsidRPr="00DA1CC9">
        <w:br/>
        <w:t>s prorůstovým potenciálem a má podpořit 930 zaměstnanců</w:t>
      </w:r>
      <w:r w:rsidRPr="00D23D06">
        <w:t xml:space="preserve">. Cílem projektu je umožnit vybraným podnikům získat </w:t>
      </w:r>
      <w:r w:rsidR="00A041D7">
        <w:t>prostředky</w:t>
      </w:r>
      <w:r w:rsidRPr="00D23D06">
        <w:t xml:space="preserve"> na vzdělávání či rekvalifikaci zaměstnanců, </w:t>
      </w:r>
      <w:r w:rsidR="00DA1CC9">
        <w:t>a to po dobu jejich vzdělávání.</w:t>
      </w:r>
    </w:p>
    <w:p w:rsidR="00B63666" w:rsidRPr="00D23D06" w:rsidRDefault="00B63666" w:rsidP="00B63666">
      <w:pPr>
        <w:spacing w:after="0" w:line="240" w:lineRule="auto"/>
        <w:ind w:firstLine="708"/>
        <w:jc w:val="both"/>
      </w:pPr>
      <w:r w:rsidRPr="00D23D06">
        <w:t xml:space="preserve">Od ledna 2014, kdy začal příjem žádostí, bylo přijato celkem </w:t>
      </w:r>
      <w:r>
        <w:t>416</w:t>
      </w:r>
      <w:r w:rsidRPr="00D23D06">
        <w:t xml:space="preserve"> žád</w:t>
      </w:r>
      <w:r>
        <w:t>ostí, přičemž schváleno bylo 255 žádostí. K 30. 6. 2014 bylo uzavřeno 143 dohod s 68</w:t>
      </w:r>
      <w:r w:rsidRPr="00D23D06">
        <w:t xml:space="preserve"> zaměstnavateli. Těmto dohodám odpovídá </w:t>
      </w:r>
      <w:r>
        <w:t>954</w:t>
      </w:r>
      <w:r w:rsidRPr="00D23D06">
        <w:t xml:space="preserve"> </w:t>
      </w:r>
      <w:r>
        <w:t>účastníků vzdělávacích aktivit. Na realizaci projektu bylo k 30. 6</w:t>
      </w:r>
      <w:r w:rsidRPr="00D23D06">
        <w:t xml:space="preserve">. 2014 </w:t>
      </w:r>
      <w:r>
        <w:t>z celkového rozpočtu</w:t>
      </w:r>
      <w:r w:rsidR="00DA1CC9">
        <w:t xml:space="preserve"> </w:t>
      </w:r>
      <w:r w:rsidRPr="00D23D06">
        <w:t xml:space="preserve">62,9 </w:t>
      </w:r>
      <w:r>
        <w:t>mil. Kč, doposud vyčerpáno cca 3,5</w:t>
      </w:r>
      <w:r w:rsidRPr="00D23D06">
        <w:t xml:space="preserve"> mil. Kč. Realizace projektu končí </w:t>
      </w:r>
      <w:r>
        <w:t xml:space="preserve">k </w:t>
      </w:r>
      <w:r w:rsidRPr="00D23D06">
        <w:t>31. 10. 2015.</w:t>
      </w:r>
    </w:p>
    <w:p w:rsidR="00B63666" w:rsidRPr="00E15DF7" w:rsidRDefault="00B63666" w:rsidP="00B63666">
      <w:pPr>
        <w:spacing w:after="0" w:line="240" w:lineRule="auto"/>
        <w:jc w:val="both"/>
        <w:rPr>
          <w:highlight w:val="lightGray"/>
        </w:rPr>
      </w:pPr>
    </w:p>
    <w:p w:rsidR="00B63666" w:rsidRPr="00B24831" w:rsidRDefault="00B63666" w:rsidP="00B63666">
      <w:pPr>
        <w:spacing w:after="0" w:line="240" w:lineRule="auto"/>
        <w:jc w:val="both"/>
        <w:rPr>
          <w:b/>
          <w:u w:val="single"/>
        </w:rPr>
      </w:pPr>
      <w:r w:rsidRPr="00B24831">
        <w:rPr>
          <w:b/>
          <w:u w:val="single"/>
        </w:rPr>
        <w:t>Odborné praxe pro mladé do 30 let v Ústeckém kraji</w:t>
      </w:r>
    </w:p>
    <w:p w:rsidR="00B63666" w:rsidRPr="00B24831" w:rsidRDefault="00B63666" w:rsidP="00B63666">
      <w:pPr>
        <w:spacing w:after="0" w:line="240" w:lineRule="auto"/>
        <w:ind w:firstLine="708"/>
        <w:jc w:val="both"/>
      </w:pPr>
      <w:r w:rsidRPr="00B24831">
        <w:t>Projekt „Odborné praxe pro mladé do 30 let v Ústeckém k</w:t>
      </w:r>
      <w:r>
        <w:t>raji“ je určen mladým uchazečům</w:t>
      </w:r>
      <w:r>
        <w:br/>
      </w:r>
      <w:r w:rsidRPr="00B24831">
        <w:t xml:space="preserve">o zaměstnání (do 30 let) dlouhodobě evidovaným a s minimální pracovní zkušeností. Hlavním cílem je poskytnou těmto lidem odborné dovednosti a znalosti pro výkon konkrétní profese realizované formou praxe u zaměstnavatele a začlenit se tak na trh práce. </w:t>
      </w:r>
    </w:p>
    <w:p w:rsidR="00B63666" w:rsidRPr="00B24831" w:rsidRDefault="00B63666" w:rsidP="00DA1CC9">
      <w:pPr>
        <w:spacing w:after="0" w:line="240" w:lineRule="auto"/>
        <w:ind w:firstLine="708"/>
        <w:jc w:val="both"/>
      </w:pPr>
      <w:r w:rsidRPr="00B24831">
        <w:t>Po provedené podstatné změně projektu je plánováno takto pomoci 1 200 mladým lidem. Celkový počet zapojených lidí do projektu k 30. 6. 2014 činí 1 348 účastníků. Cílem projektu je umístit na vyhrazená pracovní místa u zaměstnavatelů alespoň 882 účastníků. K měsíci červnu bylo zprostředkováno zaměstnání celkem 825 účastníkům.</w:t>
      </w:r>
      <w:r w:rsidR="00DA1CC9">
        <w:t xml:space="preserve"> </w:t>
      </w:r>
      <w:r w:rsidRPr="00B24831">
        <w:t>Z celkového rozpočtu projektu, který po navýšení činí cca 235 mil. Kč</w:t>
      </w:r>
      <w:r>
        <w:t xml:space="preserve">, bylo dosud vyčerpáno cca 31,9 </w:t>
      </w:r>
      <w:r w:rsidRPr="00B24831">
        <w:t xml:space="preserve">mil Kč.  </w:t>
      </w:r>
    </w:p>
    <w:p w:rsidR="00DA1CC9" w:rsidRDefault="00DA1CC9" w:rsidP="00B63666">
      <w:pPr>
        <w:spacing w:after="0" w:line="240" w:lineRule="auto"/>
        <w:jc w:val="both"/>
        <w:rPr>
          <w:b/>
          <w:u w:val="single"/>
        </w:rPr>
      </w:pPr>
    </w:p>
    <w:p w:rsidR="00B63666" w:rsidRPr="005207F4" w:rsidRDefault="00B63666" w:rsidP="00B63666">
      <w:pPr>
        <w:spacing w:after="0" w:line="240" w:lineRule="auto"/>
        <w:jc w:val="both"/>
        <w:rPr>
          <w:b/>
          <w:u w:val="single"/>
        </w:rPr>
      </w:pPr>
      <w:r w:rsidRPr="005207F4">
        <w:rPr>
          <w:b/>
          <w:u w:val="single"/>
        </w:rPr>
        <w:t>Práce pro každého v Ústeckém kraji</w:t>
      </w:r>
    </w:p>
    <w:p w:rsidR="00DA1CC9" w:rsidRDefault="00B63666" w:rsidP="00DA1CC9">
      <w:pPr>
        <w:spacing w:after="0" w:line="240" w:lineRule="auto"/>
        <w:ind w:firstLine="708"/>
        <w:jc w:val="both"/>
      </w:pPr>
      <w:r w:rsidRPr="005207F4">
        <w:t xml:space="preserve">Projekt „Práce pro každého v Ústeckém kraji“ je zaměřen na pomoc uchazečům se základním vzděláním nebo kvalifikací, kterou již nemůžou uplatnit na trhu práce, neboť se poptávka po těchto </w:t>
      </w:r>
      <w:r w:rsidRPr="005207F4">
        <w:lastRenderedPageBreak/>
        <w:t>profesích na trhu práce snížila, či dokonce zanikla. Projekt je také určen p</w:t>
      </w:r>
      <w:r w:rsidR="00DA1CC9">
        <w:t>ro uchazeče, kteří byli vyučeni</w:t>
      </w:r>
      <w:r w:rsidR="00DA1CC9">
        <w:br/>
      </w:r>
      <w:r w:rsidRPr="005207F4">
        <w:t xml:space="preserve">v oborech sice žádaných, ale individuálně neuplatnitelných tj. nikdy svou profesi nevykonávali, či nemohli vykonávat např. z důvodu zdravotního stavu, sociální zátěže či péče o děti. </w:t>
      </w:r>
    </w:p>
    <w:p w:rsidR="00B63666" w:rsidRPr="005207F4" w:rsidRDefault="00B63666" w:rsidP="00DA1CC9">
      <w:pPr>
        <w:spacing w:after="0" w:line="240" w:lineRule="auto"/>
        <w:ind w:firstLine="708"/>
        <w:jc w:val="both"/>
      </w:pPr>
      <w:r w:rsidRPr="005207F4">
        <w:t>Realizace projektových aktivit, kterou zajišťuje dodavatel, probíhá o</w:t>
      </w:r>
      <w:r>
        <w:t>d června 2013. V současnosti probíhají</w:t>
      </w:r>
      <w:r w:rsidRPr="005207F4">
        <w:t xml:space="preserve"> ji</w:t>
      </w:r>
      <w:r>
        <w:t>ž čtvrté</w:t>
      </w:r>
      <w:r w:rsidRPr="005207F4">
        <w:t xml:space="preserve"> nábory</w:t>
      </w:r>
      <w:r w:rsidR="00DA1CC9">
        <w:t xml:space="preserve"> uchazečů </w:t>
      </w:r>
      <w:r>
        <w:t>a bylo podpořeno 604</w:t>
      </w:r>
      <w:r w:rsidRPr="005207F4">
        <w:t xml:space="preserve"> účastníků z celkově plánovaných 800. Cílem projektu je umístit na pracovní t</w:t>
      </w:r>
      <w:r>
        <w:t xml:space="preserve">rh </w:t>
      </w:r>
      <w:r w:rsidR="00DA1CC9">
        <w:t xml:space="preserve">minimálně 400 účastníků. K 31. </w:t>
      </w:r>
      <w:r>
        <w:t>5</w:t>
      </w:r>
      <w:r w:rsidRPr="005207F4">
        <w:t xml:space="preserve">. 2014 se podařilo umístit na dotovaná pracovní místa </w:t>
      </w:r>
      <w:r>
        <w:t>221</w:t>
      </w:r>
      <w:r w:rsidRPr="005207F4">
        <w:t xml:space="preserve"> účastníků projektu a na nedotovaná pracovní místa </w:t>
      </w:r>
      <w:r>
        <w:t>77</w:t>
      </w:r>
      <w:r w:rsidRPr="005207F4">
        <w:t>. Projek</w:t>
      </w:r>
      <w:r>
        <w:t>t tak pomohl najít práci již 298</w:t>
      </w:r>
      <w:r w:rsidRPr="005207F4">
        <w:t xml:space="preserve"> lidem.  Z celkového rozpočtu projektu, který činí cca 53,5 mil.</w:t>
      </w:r>
      <w:r>
        <w:t xml:space="preserve"> Kč, bylo dosud vyčerpáno cca 16</w:t>
      </w:r>
      <w:r w:rsidRPr="005207F4">
        <w:t xml:space="preserve"> mil. Kč.  </w:t>
      </w:r>
    </w:p>
    <w:p w:rsidR="00B63666" w:rsidRPr="00E15DF7" w:rsidRDefault="00B63666" w:rsidP="00B63666">
      <w:pPr>
        <w:spacing w:after="0" w:line="240" w:lineRule="auto"/>
        <w:jc w:val="both"/>
        <w:rPr>
          <w:highlight w:val="lightGray"/>
        </w:rPr>
      </w:pPr>
    </w:p>
    <w:p w:rsidR="00B63666" w:rsidRPr="00A76199" w:rsidRDefault="00B63666" w:rsidP="00B63666">
      <w:pPr>
        <w:spacing w:after="0" w:line="240" w:lineRule="auto"/>
        <w:jc w:val="both"/>
        <w:rPr>
          <w:b/>
          <w:u w:val="single"/>
        </w:rPr>
      </w:pPr>
      <w:r w:rsidRPr="00A76199">
        <w:rPr>
          <w:b/>
          <w:u w:val="single"/>
        </w:rPr>
        <w:t>Sociálně vyloučené lokality Ústeckého kraje</w:t>
      </w:r>
    </w:p>
    <w:p w:rsidR="00DA1CC9" w:rsidRDefault="00B63666" w:rsidP="00DA1CC9">
      <w:pPr>
        <w:spacing w:after="0" w:line="240" w:lineRule="auto"/>
        <w:ind w:firstLine="708"/>
        <w:jc w:val="both"/>
      </w:pPr>
      <w:r w:rsidRPr="00A76199">
        <w:t xml:space="preserve">Projekt „Sociálně vyloučené lokality Ústeckého kraje“ je zaměřen na nezaměstnané osoby pocházející ze sociálně vyloučených lokalit Ústeckého kraje. Cílem projektu je pomoci lidem právě z těchto lokalit </w:t>
      </w:r>
      <w:r w:rsidRPr="002220C7">
        <w:t>prostřednictvím projektových aktivity, mezi které patří individuální a skupinové poradenství, motivace a aktivizace, rekvalifikace, pracovní asistence včetně</w:t>
      </w:r>
      <w:r w:rsidR="00DA1CC9">
        <w:t xml:space="preserve"> doprovodů na pracovní pohovory</w:t>
      </w:r>
      <w:r w:rsidR="00DA1CC9">
        <w:br/>
        <w:t xml:space="preserve">a </w:t>
      </w:r>
      <w:r w:rsidRPr="002220C7">
        <w:t>zprostředkování podporovaného zaměstnání s využitím pracovní asistence ještě po dobu několika prv</w:t>
      </w:r>
      <w:r w:rsidR="00DA1CC9">
        <w:t>ních týdnů na novém pracovišti.</w:t>
      </w:r>
    </w:p>
    <w:p w:rsidR="00B63666" w:rsidRPr="00A76199" w:rsidRDefault="00B63666" w:rsidP="00DA1CC9">
      <w:pPr>
        <w:spacing w:after="0" w:line="240" w:lineRule="auto"/>
        <w:ind w:firstLine="708"/>
        <w:jc w:val="both"/>
      </w:pPr>
      <w:r w:rsidRPr="002220C7">
        <w:t xml:space="preserve">Podpořeno bude v rámci projektu celkem 800 uchazečů, z nichž minimálně 400 osob bude umístěno na trh práce. Celkový rozpočet činí cca 101 mil </w:t>
      </w:r>
      <w:proofErr w:type="gramStart"/>
      <w:r w:rsidRPr="002220C7">
        <w:t>Kč, z toho</w:t>
      </w:r>
      <w:proofErr w:type="gramEnd"/>
      <w:r w:rsidRPr="002220C7">
        <w:t xml:space="preserve"> bylo z</w:t>
      </w:r>
      <w:r w:rsidR="00DA1CC9">
        <w:t>atím vyčerpáno cca 2,5 mil. Kč.</w:t>
      </w:r>
      <w:r w:rsidR="00DA1CC9">
        <w:br/>
      </w:r>
      <w:r w:rsidRPr="002220C7">
        <w:t xml:space="preserve">V červnu 2014 </w:t>
      </w:r>
      <w:proofErr w:type="gramStart"/>
      <w:r w:rsidRPr="002220C7">
        <w:t>byly</w:t>
      </w:r>
      <w:proofErr w:type="gramEnd"/>
      <w:r w:rsidRPr="002220C7">
        <w:t xml:space="preserve"> realizovány informační schůzky pro zájemce a</w:t>
      </w:r>
      <w:r w:rsidR="00DA1CC9">
        <w:t xml:space="preserve"> následně i individuální vstupy</w:t>
      </w:r>
      <w:r w:rsidR="00DA1CC9">
        <w:br/>
      </w:r>
      <w:r w:rsidRPr="002220C7">
        <w:t xml:space="preserve">do projektu. Celkem již bylo zapojeno 294 účastníků ze všech lokalit. Dále bylo uskutečněno 565 individuálních poradenství od počátku realizace projektu. V rámci projektu dále probíhaly aktivizačně motivační školení (Soft </w:t>
      </w:r>
      <w:proofErr w:type="spellStart"/>
      <w:r w:rsidRPr="00E1689C">
        <w:t>skills</w:t>
      </w:r>
      <w:proofErr w:type="spellEnd"/>
      <w:r w:rsidRPr="00E1689C">
        <w:t>,</w:t>
      </w:r>
      <w:r w:rsidRPr="002220C7">
        <w:t xml:space="preserve"> Finančně funkční gramotnost a Právo pro praxi) která úspěšně absolvovalo 250 účastníků. </w:t>
      </w:r>
      <w:r w:rsidRPr="00E1689C">
        <w:t>Dosud se podařilo do zaměstnání umístit 14 účast</w:t>
      </w:r>
      <w:r w:rsidR="00DA1CC9">
        <w:t>níků na dotovaná pracovní místa</w:t>
      </w:r>
      <w:r w:rsidR="00DA1CC9">
        <w:br/>
      </w:r>
      <w:r w:rsidRPr="00E1689C">
        <w:t>a 6 na nedotovaná pracovní místa. Prostřednictvím projektu bylo tak zaměstnáno již 20 účastníků. Na závěr měsíce byla schválena</w:t>
      </w:r>
      <w:r w:rsidRPr="002220C7">
        <w:t xml:space="preserve"> rekvalifikace „Základy obsluhy PC“ pro 3 účastníky projektu. </w:t>
      </w:r>
    </w:p>
    <w:p w:rsidR="00B63666" w:rsidRPr="00E15DF7" w:rsidRDefault="00B63666" w:rsidP="00B63666">
      <w:pPr>
        <w:spacing w:after="0" w:line="240" w:lineRule="auto"/>
        <w:jc w:val="both"/>
        <w:rPr>
          <w:highlight w:val="lightGray"/>
        </w:rPr>
      </w:pPr>
    </w:p>
    <w:p w:rsidR="00B63666" w:rsidRPr="00C10034" w:rsidRDefault="00B63666" w:rsidP="00B63666">
      <w:pPr>
        <w:spacing w:after="0" w:line="240" w:lineRule="auto"/>
        <w:jc w:val="both"/>
        <w:rPr>
          <w:b/>
          <w:bCs/>
          <w:u w:val="single"/>
        </w:rPr>
      </w:pPr>
      <w:r w:rsidRPr="00C10034">
        <w:rPr>
          <w:b/>
          <w:bCs/>
          <w:u w:val="single"/>
        </w:rPr>
        <w:t>Práce bez překážek</w:t>
      </w:r>
    </w:p>
    <w:p w:rsidR="00B63666" w:rsidRPr="00C10034" w:rsidRDefault="00B63666" w:rsidP="00DA1CC9">
      <w:pPr>
        <w:spacing w:after="0" w:line="240" w:lineRule="auto"/>
        <w:ind w:firstLine="708"/>
        <w:jc w:val="both"/>
      </w:pPr>
      <w:r w:rsidRPr="00C10034">
        <w:t>Od září 2012, kdy začala realizace projektu dodavatelem, bylo v rámci tohoto projektu podpořeno 724 uchazečů o zaměstnání. Účastníci prošli aktivitami, mezi které patřila motivace a pracovní asistence, diagnostika a poradenství, finanční a funkční gramotnost, rekvali</w:t>
      </w:r>
      <w:r w:rsidR="00DA1CC9">
        <w:t>fikace, které probíhali i přímo</w:t>
      </w:r>
      <w:r w:rsidR="00DA1CC9">
        <w:br/>
      </w:r>
      <w:r w:rsidRPr="00C10034">
        <w:t>u zaměstnavatelů s ohledem na bydliště účastníků projektu. Vzhle</w:t>
      </w:r>
      <w:r w:rsidR="00DA1CC9">
        <w:t>dem k tomu, že vypršela smlouva</w:t>
      </w:r>
      <w:r w:rsidR="00DA1CC9">
        <w:br/>
      </w:r>
      <w:r w:rsidRPr="00C10034">
        <w:t xml:space="preserve">o poskytování služeb, došlo dne 31. 5. 2014 k uzavření všech </w:t>
      </w:r>
      <w:r w:rsidR="00DA1CC9">
        <w:t>informačně poradenských center,</w:t>
      </w:r>
      <w:r w:rsidR="00DA1CC9">
        <w:br/>
      </w:r>
      <w:r w:rsidRPr="00C10034">
        <w:t>kde probíhalo poradenství a některé další klíčové aktivity projektu. K výše uvedenému datu byly dokončeny všechny aktivity včetně aktivity „Rekvalifikace“. Od začátku projektu se podařilo do zaměstnání umístit 275 účastníků na dotovaná pracovní místa a 152 na nedotovaná pracovní místa. Prostřednictvím projektu bylo tak zaměstnáno již 427 účastníků. Z celkového rozpočtu projektu cca 63 mil. Kč je vyčerpáno cca 4</w:t>
      </w:r>
      <w:r>
        <w:t>8,9</w:t>
      </w:r>
      <w:r w:rsidRPr="00C10034">
        <w:t xml:space="preserve"> mil. Kč. Realizace projetu končí 31. 7. 2014.</w:t>
      </w:r>
    </w:p>
    <w:p w:rsidR="00B63666" w:rsidRDefault="00B63666" w:rsidP="00B63666">
      <w:pPr>
        <w:spacing w:after="0" w:line="240" w:lineRule="auto"/>
        <w:jc w:val="both"/>
        <w:rPr>
          <w:b/>
          <w:u w:val="single"/>
        </w:rPr>
      </w:pPr>
    </w:p>
    <w:p w:rsidR="00B63666" w:rsidRPr="00C10034" w:rsidRDefault="00B63666" w:rsidP="00B63666">
      <w:pPr>
        <w:spacing w:after="0" w:line="240" w:lineRule="auto"/>
        <w:jc w:val="both"/>
        <w:rPr>
          <w:b/>
          <w:u w:val="single"/>
        </w:rPr>
      </w:pPr>
      <w:r w:rsidRPr="00C10034">
        <w:rPr>
          <w:b/>
          <w:u w:val="single"/>
        </w:rPr>
        <w:t>Restart na druhou v Ústeckém kraj</w:t>
      </w:r>
    </w:p>
    <w:p w:rsidR="00DA1CC9" w:rsidRDefault="00B63666" w:rsidP="00DA1CC9">
      <w:pPr>
        <w:spacing w:after="0" w:line="240" w:lineRule="auto"/>
        <w:ind w:firstLine="708"/>
        <w:jc w:val="both"/>
      </w:pPr>
      <w:r>
        <w:t>Projekt Restart na druhou v Ústeckém kraji je zacílen na pomoc zaměstnancům, kterým hrozí ztráta zaměstnání nebo jsou již ve výpovědní lhůtě, a to zejmé</w:t>
      </w:r>
      <w:r w:rsidR="00DA1CC9">
        <w:t>na z důvodu organizačních změn.</w:t>
      </w:r>
    </w:p>
    <w:p w:rsidR="00B63666" w:rsidRDefault="00B63666" w:rsidP="00DA1CC9">
      <w:pPr>
        <w:spacing w:after="0" w:line="240" w:lineRule="auto"/>
        <w:ind w:firstLine="708"/>
        <w:jc w:val="both"/>
      </w:pPr>
      <w:r>
        <w:t>V průběhu měsíce května byla zapojena další přibližně dvace</w:t>
      </w:r>
      <w:r w:rsidR="00DA1CC9">
        <w:t>t nových účastníků. Celkově tak</w:t>
      </w:r>
      <w:r w:rsidR="00DA1CC9">
        <w:br/>
      </w:r>
      <w:r>
        <w:t xml:space="preserve">do projektu již vstoupilo 210 lidí. Z jednotlivých modulů školení, která jsou pro </w:t>
      </w:r>
      <w:r w:rsidR="00DA1CC9">
        <w:t>účastníky připravena</w:t>
      </w:r>
      <w:r w:rsidR="00DA1CC9">
        <w:br/>
      </w:r>
      <w:r>
        <w:t xml:space="preserve">v oblasti pracovního práva, psychologie, finanční gramotnosti a soft </w:t>
      </w:r>
      <w:proofErr w:type="spellStart"/>
      <w:r>
        <w:t>skills</w:t>
      </w:r>
      <w:proofErr w:type="spellEnd"/>
      <w:r>
        <w:t xml:space="preserve">, bylo do konce června 2014 vydáno 461 osvědčení úspěšným absolventům.  Do konce června 2014 </w:t>
      </w:r>
      <w:r w:rsidR="00DA1CC9">
        <w:t>projekt pomohl ke znovuzapojení</w:t>
      </w:r>
      <w:r w:rsidR="00DA1CC9">
        <w:br/>
      </w:r>
      <w:r>
        <w:t>do pracovního procesu 105 účastníkům, z nichž 47 bylo umístěno na dotov</w:t>
      </w:r>
      <w:r w:rsidR="00DA1CC9">
        <w:t>aná pracovní místa. Pro dalších</w:t>
      </w:r>
      <w:r w:rsidR="00DA1CC9">
        <w:br/>
        <w:t>8</w:t>
      </w:r>
      <w:r>
        <w:t xml:space="preserve"> účastníků jsou již se zaměstnavateli předjednána pracovní </w:t>
      </w:r>
      <w:r w:rsidR="00DA1CC9">
        <w:t>místa s nástupy v červenci 2014,</w:t>
      </w:r>
      <w:r>
        <w:t xml:space="preserve"> </w:t>
      </w:r>
      <w:r w:rsidR="00DA1CC9">
        <w:t>3</w:t>
      </w:r>
      <w:r>
        <w:t xml:space="preserve"> účastníci se rozhodli pro dráhu OSVČ. Z celkového rozpočtu 49,2 mil. Kč bylo dosud vyčerpáno cca 4,8 mil. Kč.</w:t>
      </w:r>
    </w:p>
    <w:p w:rsidR="00DA1CC9" w:rsidRDefault="00DA1CC9" w:rsidP="00B63666">
      <w:pPr>
        <w:spacing w:after="0" w:line="240" w:lineRule="auto"/>
        <w:jc w:val="both"/>
      </w:pPr>
    </w:p>
    <w:p w:rsidR="00D13CAE" w:rsidRPr="00672981" w:rsidRDefault="002876E8" w:rsidP="000A3F01">
      <w:pPr>
        <w:pStyle w:val="Nadpis1"/>
        <w:jc w:val="both"/>
        <w:rPr>
          <w:b/>
          <w:caps/>
          <w:szCs w:val="22"/>
        </w:rPr>
      </w:pPr>
      <w:bookmarkStart w:id="7" w:name="_Toc393271596"/>
      <w:r w:rsidRPr="00672981">
        <w:rPr>
          <w:b/>
          <w:caps/>
          <w:szCs w:val="22"/>
        </w:rPr>
        <w:t>7</w:t>
      </w:r>
      <w:r w:rsidR="00D13CAE" w:rsidRPr="00672981">
        <w:rPr>
          <w:b/>
          <w:caps/>
          <w:szCs w:val="22"/>
        </w:rPr>
        <w:t>. Veřejná služba</w:t>
      </w:r>
      <w:r w:rsidR="005A44FE" w:rsidRPr="00672981">
        <w:rPr>
          <w:b/>
          <w:caps/>
          <w:szCs w:val="22"/>
        </w:rPr>
        <w:t xml:space="preserve"> realizovaná v Ústeckém kraji</w:t>
      </w:r>
      <w:bookmarkEnd w:id="7"/>
    </w:p>
    <w:p w:rsidR="00D13CAE" w:rsidRPr="00672981" w:rsidRDefault="00D13CAE" w:rsidP="000A3F01">
      <w:pPr>
        <w:spacing w:after="0" w:line="240" w:lineRule="auto"/>
        <w:rPr>
          <w:lang w:eastAsia="cs-CZ"/>
        </w:rPr>
      </w:pPr>
    </w:p>
    <w:p w:rsidR="00D13CAE" w:rsidRPr="00A041D7" w:rsidRDefault="00D13CAE" w:rsidP="00526F35">
      <w:pPr>
        <w:pStyle w:val="Zkladntext"/>
        <w:spacing w:line="240" w:lineRule="auto"/>
        <w:ind w:firstLine="708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672981">
        <w:rPr>
          <w:rFonts w:asciiTheme="minorHAnsi" w:hAnsiTheme="minorHAnsi"/>
          <w:b w:val="0"/>
          <w:bCs w:val="0"/>
          <w:sz w:val="22"/>
          <w:szCs w:val="22"/>
        </w:rPr>
        <w:t>S účinností od 6. 2. 2013 byla zrušena povinnost nástupu na veřejnou službu a v současné době je pouze na</w:t>
      </w:r>
      <w:r w:rsidR="00A13FB1" w:rsidRPr="00672981">
        <w:rPr>
          <w:rFonts w:asciiTheme="minorHAnsi" w:hAnsiTheme="minorHAnsi"/>
          <w:b w:val="0"/>
          <w:bCs w:val="0"/>
          <w:sz w:val="22"/>
          <w:szCs w:val="22"/>
        </w:rPr>
        <w:t xml:space="preserve"> vůli uchazeče</w:t>
      </w:r>
      <w:r w:rsidRPr="00672981">
        <w:rPr>
          <w:rFonts w:asciiTheme="minorHAnsi" w:hAnsiTheme="minorHAnsi"/>
          <w:b w:val="0"/>
          <w:bCs w:val="0"/>
          <w:sz w:val="22"/>
          <w:szCs w:val="22"/>
        </w:rPr>
        <w:t>, zda ji bude vykonávat. V</w:t>
      </w:r>
      <w:r w:rsidR="00A13FB1" w:rsidRPr="00672981">
        <w:rPr>
          <w:rFonts w:asciiTheme="minorHAnsi" w:hAnsiTheme="minorHAnsi"/>
          <w:b w:val="0"/>
          <w:bCs w:val="0"/>
          <w:sz w:val="22"/>
          <w:szCs w:val="22"/>
        </w:rPr>
        <w:t> </w:t>
      </w:r>
      <w:r w:rsidRPr="00672981">
        <w:rPr>
          <w:rFonts w:asciiTheme="minorHAnsi" w:hAnsiTheme="minorHAnsi"/>
          <w:b w:val="0"/>
          <w:bCs w:val="0"/>
          <w:sz w:val="22"/>
          <w:szCs w:val="22"/>
        </w:rPr>
        <w:t>průběhu</w:t>
      </w:r>
      <w:r w:rsidR="00A13FB1" w:rsidRPr="00672981">
        <w:rPr>
          <w:rFonts w:asciiTheme="minorHAnsi" w:hAnsiTheme="minorHAnsi"/>
          <w:b w:val="0"/>
          <w:bCs w:val="0"/>
          <w:sz w:val="22"/>
          <w:szCs w:val="22"/>
        </w:rPr>
        <w:t xml:space="preserve"> měsíce</w:t>
      </w:r>
      <w:r w:rsidRPr="00672981">
        <w:rPr>
          <w:rFonts w:asciiTheme="minorHAnsi" w:hAnsiTheme="minorHAnsi"/>
          <w:bCs w:val="0"/>
          <w:sz w:val="22"/>
          <w:szCs w:val="22"/>
        </w:rPr>
        <w:t xml:space="preserve"> </w:t>
      </w:r>
      <w:r w:rsidR="00672981" w:rsidRPr="00672981">
        <w:rPr>
          <w:rFonts w:asciiTheme="minorHAnsi" w:hAnsiTheme="minorHAnsi"/>
          <w:bCs w:val="0"/>
          <w:sz w:val="22"/>
          <w:szCs w:val="22"/>
        </w:rPr>
        <w:t>června</w:t>
      </w:r>
      <w:r w:rsidR="00ED2397" w:rsidRPr="00672981">
        <w:rPr>
          <w:rFonts w:asciiTheme="minorHAnsi" w:hAnsiTheme="minorHAnsi"/>
          <w:b w:val="0"/>
          <w:bCs w:val="0"/>
          <w:sz w:val="22"/>
          <w:szCs w:val="22"/>
        </w:rPr>
        <w:t xml:space="preserve"> nastoupili</w:t>
      </w:r>
      <w:r w:rsidRPr="00672981">
        <w:rPr>
          <w:rFonts w:asciiTheme="minorHAnsi" w:hAnsiTheme="minorHAnsi"/>
          <w:b w:val="0"/>
          <w:bCs w:val="0"/>
          <w:sz w:val="22"/>
          <w:szCs w:val="22"/>
        </w:rPr>
        <w:t xml:space="preserve"> v kraji na veřejnou službu </w:t>
      </w:r>
      <w:r w:rsidR="00672981" w:rsidRPr="00672981">
        <w:rPr>
          <w:rFonts w:asciiTheme="minorHAnsi" w:hAnsiTheme="minorHAnsi"/>
          <w:b w:val="0"/>
          <w:bCs w:val="0"/>
          <w:sz w:val="22"/>
          <w:szCs w:val="22"/>
        </w:rPr>
        <w:t>3</w:t>
      </w:r>
      <w:r w:rsidRPr="00672981">
        <w:rPr>
          <w:rFonts w:asciiTheme="minorHAnsi" w:hAnsiTheme="minorHAnsi"/>
          <w:b w:val="0"/>
          <w:bCs w:val="0"/>
          <w:sz w:val="22"/>
          <w:szCs w:val="22"/>
        </w:rPr>
        <w:t xml:space="preserve"> uchazeč</w:t>
      </w:r>
      <w:r w:rsidR="00ED2397" w:rsidRPr="00672981">
        <w:rPr>
          <w:rFonts w:asciiTheme="minorHAnsi" w:hAnsiTheme="minorHAnsi"/>
          <w:b w:val="0"/>
          <w:bCs w:val="0"/>
          <w:sz w:val="22"/>
          <w:szCs w:val="22"/>
        </w:rPr>
        <w:t>i</w:t>
      </w:r>
      <w:r w:rsidR="000419B8" w:rsidRPr="00672981">
        <w:rPr>
          <w:rFonts w:asciiTheme="minorHAnsi" w:hAnsiTheme="minorHAnsi"/>
          <w:b w:val="0"/>
          <w:bCs w:val="0"/>
          <w:sz w:val="22"/>
          <w:szCs w:val="22"/>
        </w:rPr>
        <w:t xml:space="preserve"> a </w:t>
      </w:r>
      <w:r w:rsidR="00672981" w:rsidRPr="00672981">
        <w:rPr>
          <w:rFonts w:asciiTheme="minorHAnsi" w:hAnsiTheme="minorHAnsi"/>
          <w:b w:val="0"/>
          <w:bCs w:val="0"/>
          <w:sz w:val="22"/>
          <w:szCs w:val="22"/>
        </w:rPr>
        <w:t>9</w:t>
      </w:r>
      <w:r w:rsidRPr="00672981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0419B8" w:rsidRPr="00672981">
        <w:rPr>
          <w:rFonts w:asciiTheme="minorHAnsi" w:hAnsiTheme="minorHAnsi"/>
          <w:b w:val="0"/>
          <w:bCs w:val="0"/>
          <w:sz w:val="22"/>
          <w:szCs w:val="22"/>
        </w:rPr>
        <w:t>osob</w:t>
      </w:r>
      <w:r w:rsidR="00A13FB1" w:rsidRPr="00672981">
        <w:rPr>
          <w:rFonts w:asciiTheme="minorHAnsi" w:hAnsiTheme="minorHAnsi"/>
          <w:b w:val="0"/>
          <w:bCs w:val="0"/>
          <w:sz w:val="22"/>
          <w:szCs w:val="22"/>
        </w:rPr>
        <w:t xml:space="preserve"> ji </w:t>
      </w:r>
      <w:r w:rsidR="000A3F01" w:rsidRPr="00672981">
        <w:rPr>
          <w:rFonts w:asciiTheme="minorHAnsi" w:hAnsiTheme="minorHAnsi"/>
          <w:b w:val="0"/>
          <w:bCs w:val="0"/>
          <w:sz w:val="22"/>
          <w:szCs w:val="22"/>
        </w:rPr>
        <w:t>ukončil</w:t>
      </w:r>
      <w:r w:rsidR="00A13FB1" w:rsidRPr="00672981">
        <w:rPr>
          <w:rFonts w:asciiTheme="minorHAnsi" w:hAnsiTheme="minorHAnsi"/>
          <w:b w:val="0"/>
          <w:bCs w:val="0"/>
          <w:sz w:val="22"/>
          <w:szCs w:val="22"/>
        </w:rPr>
        <w:t>o</w:t>
      </w:r>
      <w:r w:rsidRPr="00672981">
        <w:rPr>
          <w:rFonts w:asciiTheme="minorHAnsi" w:hAnsiTheme="minorHAnsi"/>
          <w:b w:val="0"/>
          <w:bCs w:val="0"/>
          <w:sz w:val="22"/>
          <w:szCs w:val="22"/>
        </w:rPr>
        <w:t xml:space="preserve">. K poslednímu </w:t>
      </w:r>
      <w:r w:rsidRPr="00A041D7">
        <w:rPr>
          <w:rFonts w:asciiTheme="minorHAnsi" w:hAnsiTheme="minorHAnsi"/>
          <w:b w:val="0"/>
          <w:bCs w:val="0"/>
          <w:sz w:val="22"/>
          <w:szCs w:val="22"/>
        </w:rPr>
        <w:t>dni sledovaného měsíce tak bylo aktivně zařazeno na výkon veřejné služby</w:t>
      </w:r>
      <w:r w:rsidR="00A13FB1" w:rsidRPr="00A041D7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672981" w:rsidRPr="00A041D7">
        <w:rPr>
          <w:rFonts w:asciiTheme="minorHAnsi" w:hAnsiTheme="minorHAnsi"/>
          <w:bCs w:val="0"/>
          <w:sz w:val="22"/>
          <w:szCs w:val="22"/>
        </w:rPr>
        <w:t>18</w:t>
      </w:r>
      <w:r w:rsidRPr="00A041D7">
        <w:rPr>
          <w:rFonts w:asciiTheme="minorHAnsi" w:hAnsiTheme="minorHAnsi"/>
          <w:bCs w:val="0"/>
          <w:sz w:val="22"/>
          <w:szCs w:val="22"/>
        </w:rPr>
        <w:t xml:space="preserve"> uchazečů</w:t>
      </w:r>
      <w:r w:rsidRPr="00A041D7">
        <w:rPr>
          <w:rFonts w:asciiTheme="minorHAnsi" w:hAnsiTheme="minorHAnsi"/>
          <w:b w:val="0"/>
          <w:bCs w:val="0"/>
          <w:sz w:val="22"/>
          <w:szCs w:val="22"/>
        </w:rPr>
        <w:t xml:space="preserve"> o zaměstnání, </w:t>
      </w:r>
      <w:r w:rsidR="000A3F01" w:rsidRPr="00A041D7">
        <w:rPr>
          <w:rFonts w:asciiTheme="minorHAnsi" w:hAnsiTheme="minorHAnsi"/>
          <w:b w:val="0"/>
          <w:bCs w:val="0"/>
          <w:sz w:val="22"/>
          <w:szCs w:val="22"/>
        </w:rPr>
        <w:t xml:space="preserve">přičemž </w:t>
      </w:r>
      <w:r w:rsidRPr="00A041D7">
        <w:rPr>
          <w:rFonts w:asciiTheme="minorHAnsi" w:hAnsiTheme="minorHAnsi"/>
          <w:b w:val="0"/>
          <w:bCs w:val="0"/>
          <w:sz w:val="22"/>
          <w:szCs w:val="22"/>
        </w:rPr>
        <w:t xml:space="preserve">nejvíce </w:t>
      </w:r>
      <w:r w:rsidR="00672981" w:rsidRPr="00A041D7">
        <w:rPr>
          <w:rFonts w:asciiTheme="minorHAnsi" w:hAnsiTheme="minorHAnsi"/>
          <w:b w:val="0"/>
          <w:bCs w:val="0"/>
          <w:sz w:val="22"/>
          <w:szCs w:val="22"/>
        </w:rPr>
        <w:t>(11</w:t>
      </w:r>
      <w:r w:rsidR="00A13FB1" w:rsidRPr="00A041D7">
        <w:rPr>
          <w:rFonts w:asciiTheme="minorHAnsi" w:hAnsiTheme="minorHAnsi"/>
          <w:b w:val="0"/>
          <w:bCs w:val="0"/>
          <w:sz w:val="22"/>
          <w:szCs w:val="22"/>
        </w:rPr>
        <w:t xml:space="preserve">) </w:t>
      </w:r>
      <w:r w:rsidR="00EC0985" w:rsidRPr="00A041D7">
        <w:rPr>
          <w:rFonts w:asciiTheme="minorHAnsi" w:hAnsiTheme="minorHAnsi"/>
          <w:b w:val="0"/>
          <w:bCs w:val="0"/>
          <w:sz w:val="22"/>
          <w:szCs w:val="22"/>
        </w:rPr>
        <w:t xml:space="preserve">na </w:t>
      </w:r>
      <w:r w:rsidR="00664F1C" w:rsidRPr="00A041D7">
        <w:rPr>
          <w:rFonts w:asciiTheme="minorHAnsi" w:hAnsiTheme="minorHAnsi"/>
          <w:b w:val="0"/>
          <w:bCs w:val="0"/>
          <w:sz w:val="22"/>
          <w:szCs w:val="22"/>
        </w:rPr>
        <w:t>kontaktním pracovišti ve Štětí.</w:t>
      </w:r>
    </w:p>
    <w:p w:rsidR="00A13FB1" w:rsidRPr="00A041D7" w:rsidRDefault="00A13FB1" w:rsidP="00526F35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270A5C" w:rsidRPr="00A041D7" w:rsidRDefault="002876E8" w:rsidP="00526F35">
      <w:pPr>
        <w:spacing w:after="0" w:line="240" w:lineRule="auto"/>
        <w:ind w:left="708" w:firstLine="708"/>
        <w:rPr>
          <w:lang w:eastAsia="cs-CZ"/>
        </w:rPr>
      </w:pPr>
      <w:r w:rsidRPr="00A041D7">
        <w:rPr>
          <w:lang w:eastAsia="cs-CZ"/>
        </w:rPr>
        <w:t>Tabulka č. 8</w:t>
      </w:r>
      <w:r w:rsidR="00270A5C" w:rsidRPr="00A041D7">
        <w:rPr>
          <w:lang w:eastAsia="cs-CZ"/>
        </w:rPr>
        <w:t xml:space="preserve"> - Realizace veřejné služby</w:t>
      </w:r>
    </w:p>
    <w:tbl>
      <w:tblPr>
        <w:tblW w:w="73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345"/>
        <w:gridCol w:w="1359"/>
        <w:gridCol w:w="1331"/>
        <w:gridCol w:w="1346"/>
      </w:tblGrid>
      <w:tr w:rsidR="00672981" w:rsidRPr="00A041D7" w:rsidTr="00D13CAE">
        <w:trPr>
          <w:trHeight w:hRule="exact" w:val="284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D13CAE" w:rsidRPr="00A041D7" w:rsidRDefault="00D13CAE" w:rsidP="00526F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041D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</w:p>
        </w:tc>
        <w:tc>
          <w:tcPr>
            <w:tcW w:w="5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D13CAE" w:rsidRPr="00A041D7" w:rsidRDefault="00D13CAE" w:rsidP="00526F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041D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Počet vykonavatelů veřejné služby - </w:t>
            </w:r>
            <w:proofErr w:type="spellStart"/>
            <w:r w:rsidRPr="00A041D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KrP</w:t>
            </w:r>
            <w:proofErr w:type="spellEnd"/>
            <w:r w:rsidRPr="00A041D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Ústí nad Labem</w:t>
            </w:r>
          </w:p>
        </w:tc>
      </w:tr>
      <w:tr w:rsidR="00672981" w:rsidRPr="00A041D7" w:rsidTr="00526F35">
        <w:trPr>
          <w:trHeight w:hRule="exact" w:val="495"/>
          <w:jc w:val="center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D13CAE" w:rsidRPr="00A041D7" w:rsidRDefault="00D13CAE" w:rsidP="00526F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D13CAE" w:rsidRPr="00A041D7" w:rsidRDefault="00D13CAE" w:rsidP="00526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41D7">
              <w:rPr>
                <w:sz w:val="20"/>
                <w:szCs w:val="20"/>
              </w:rPr>
              <w:t>ke konci</w:t>
            </w:r>
          </w:p>
          <w:p w:rsidR="00D13CAE" w:rsidRPr="00A041D7" w:rsidRDefault="00D13CAE" w:rsidP="00526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41D7">
              <w:rPr>
                <w:sz w:val="20"/>
                <w:szCs w:val="20"/>
              </w:rPr>
              <w:t>min. měsíce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D13CAE" w:rsidRPr="00A041D7" w:rsidRDefault="00D13CAE" w:rsidP="00526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41D7">
              <w:rPr>
                <w:sz w:val="20"/>
                <w:szCs w:val="20"/>
              </w:rPr>
              <w:t>nové nástupy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D13CAE" w:rsidRPr="00A041D7" w:rsidRDefault="00D13CAE" w:rsidP="00526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41D7">
              <w:rPr>
                <w:sz w:val="20"/>
                <w:szCs w:val="20"/>
              </w:rPr>
              <w:t>ukončení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D13CAE" w:rsidRPr="00A041D7" w:rsidRDefault="00D13CAE" w:rsidP="00526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41D7">
              <w:rPr>
                <w:sz w:val="20"/>
                <w:szCs w:val="20"/>
              </w:rPr>
              <w:t>ke konci</w:t>
            </w:r>
          </w:p>
          <w:p w:rsidR="00D13CAE" w:rsidRPr="00A041D7" w:rsidRDefault="00D13CAE" w:rsidP="00526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41D7">
              <w:rPr>
                <w:sz w:val="20"/>
                <w:szCs w:val="20"/>
              </w:rPr>
              <w:t xml:space="preserve">sled. </w:t>
            </w:r>
            <w:proofErr w:type="gramStart"/>
            <w:r w:rsidRPr="00A041D7">
              <w:rPr>
                <w:sz w:val="20"/>
                <w:szCs w:val="20"/>
              </w:rPr>
              <w:t>měsíce</w:t>
            </w:r>
            <w:proofErr w:type="gramEnd"/>
          </w:p>
        </w:tc>
      </w:tr>
      <w:tr w:rsidR="00672981" w:rsidRPr="00A041D7" w:rsidTr="008A7505">
        <w:trPr>
          <w:trHeight w:val="91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8A7505" w:rsidRPr="00A041D7" w:rsidRDefault="008A7505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041D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72981" w:rsidRPr="00A041D7" w:rsidTr="008A7505">
        <w:trPr>
          <w:trHeight w:val="10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8A7505" w:rsidRPr="00A041D7" w:rsidRDefault="008A7505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041D7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72981" w:rsidRPr="00A041D7" w:rsidTr="008A7505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8A7505" w:rsidRPr="00A041D7" w:rsidRDefault="008A7505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041D7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72981" w:rsidRPr="00A041D7" w:rsidTr="008A7505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8A7505" w:rsidRPr="00A041D7" w:rsidRDefault="008A7505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041D7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72981" w:rsidRPr="00A041D7" w:rsidTr="008A7505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8A7505" w:rsidRPr="00A041D7" w:rsidRDefault="008A7505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041D7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72981" w:rsidRPr="00A041D7" w:rsidTr="008A7505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8A7505" w:rsidRPr="00A041D7" w:rsidRDefault="008A7505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041D7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72981" w:rsidRPr="00A041D7" w:rsidTr="008A7505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8A7505" w:rsidRPr="00A041D7" w:rsidRDefault="008A7505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041D7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672981" w:rsidRPr="00A041D7" w:rsidTr="008A7505">
        <w:trPr>
          <w:trHeight w:val="1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8A7505" w:rsidRPr="00A041D7" w:rsidRDefault="008A7505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041D7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72981" w:rsidRPr="00A041D7" w:rsidTr="008A7505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8A7505" w:rsidRPr="00A041D7" w:rsidRDefault="008A7505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041D7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672981" w:rsidRPr="00A041D7" w:rsidTr="008A7505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8A7505" w:rsidRPr="00A041D7" w:rsidRDefault="008A7505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041D7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72981" w:rsidRPr="00A041D7" w:rsidTr="008A7505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8A7505" w:rsidRPr="00A041D7" w:rsidRDefault="008A7505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041D7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72981" w:rsidRPr="00A041D7" w:rsidTr="008A7505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8A7505" w:rsidRPr="00A041D7" w:rsidRDefault="008A7505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041D7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72981" w:rsidRPr="00A041D7" w:rsidTr="008A7505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8A7505" w:rsidRPr="00A041D7" w:rsidRDefault="008A7505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041D7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672981" w:rsidRPr="00A041D7" w:rsidTr="008A7505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8A7505" w:rsidRPr="00A041D7" w:rsidRDefault="008A7505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041D7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72981" w:rsidRPr="00A041D7" w:rsidTr="008A7505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8A7505" w:rsidRPr="00A041D7" w:rsidRDefault="008A7505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041D7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  <w:tr w:rsidR="00672981" w:rsidRPr="00A041D7" w:rsidTr="008A7505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8A7505" w:rsidRPr="00A041D7" w:rsidRDefault="008A7505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041D7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72981" w:rsidRPr="00A041D7" w:rsidTr="008A7505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8A7505" w:rsidRPr="00A041D7" w:rsidRDefault="008A7505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041D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72981" w:rsidRPr="00A041D7" w:rsidTr="008A7505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8A7505" w:rsidRPr="00A041D7" w:rsidRDefault="008A7505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041D7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72981" w:rsidRPr="00A041D7" w:rsidTr="008A7505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8A7505" w:rsidRPr="00A041D7" w:rsidRDefault="008A7505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041D7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41D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672981" w:rsidRPr="00A041D7" w:rsidTr="008A7505">
        <w:trPr>
          <w:trHeight w:val="7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A7505" w:rsidRPr="00A041D7" w:rsidRDefault="008A7505" w:rsidP="00526F3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041D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41D7"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41D7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41D7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A7505" w:rsidRPr="00A041D7" w:rsidRDefault="008A7505" w:rsidP="008A7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41D7">
              <w:rPr>
                <w:rFonts w:ascii="Calibri" w:hAnsi="Calibri" w:cs="Calibri"/>
                <w:b/>
                <w:bCs/>
                <w:sz w:val="20"/>
                <w:szCs w:val="20"/>
              </w:rPr>
              <w:t>18</w:t>
            </w:r>
          </w:p>
        </w:tc>
      </w:tr>
    </w:tbl>
    <w:p w:rsidR="0079551C" w:rsidRPr="00A041D7" w:rsidRDefault="0079551C" w:rsidP="00526F35">
      <w:pPr>
        <w:spacing w:after="0" w:line="240" w:lineRule="auto"/>
        <w:rPr>
          <w:lang w:eastAsia="cs-CZ"/>
        </w:rPr>
      </w:pPr>
    </w:p>
    <w:p w:rsidR="003417D6" w:rsidRPr="00A041D7" w:rsidRDefault="002876E8" w:rsidP="003417D6">
      <w:pPr>
        <w:pStyle w:val="Nadpis1"/>
        <w:rPr>
          <w:rFonts w:ascii="Calibri" w:hAnsi="Calibri"/>
          <w:b/>
          <w:caps/>
          <w:szCs w:val="22"/>
        </w:rPr>
      </w:pPr>
      <w:bookmarkStart w:id="8" w:name="_Toc393271597"/>
      <w:r w:rsidRPr="00A041D7">
        <w:rPr>
          <w:rFonts w:ascii="Calibri" w:hAnsi="Calibri"/>
          <w:b/>
          <w:caps/>
          <w:szCs w:val="22"/>
        </w:rPr>
        <w:t>8</w:t>
      </w:r>
      <w:r w:rsidR="00962063" w:rsidRPr="00A041D7">
        <w:rPr>
          <w:rFonts w:ascii="Calibri" w:hAnsi="Calibri"/>
          <w:b/>
          <w:caps/>
          <w:szCs w:val="22"/>
        </w:rPr>
        <w:t>. Aktivity eures poradce</w:t>
      </w:r>
      <w:r w:rsidR="005A44FE" w:rsidRPr="00A041D7">
        <w:rPr>
          <w:rFonts w:ascii="Calibri" w:hAnsi="Calibri"/>
          <w:b/>
          <w:caps/>
          <w:szCs w:val="22"/>
        </w:rPr>
        <w:t xml:space="preserve"> V ÚSTECKÉM KR</w:t>
      </w:r>
      <w:r w:rsidR="003417D6" w:rsidRPr="00A041D7">
        <w:rPr>
          <w:rFonts w:ascii="Calibri" w:hAnsi="Calibri"/>
          <w:b/>
          <w:caps/>
          <w:szCs w:val="22"/>
        </w:rPr>
        <w:t>AJI</w:t>
      </w:r>
      <w:bookmarkEnd w:id="8"/>
    </w:p>
    <w:p w:rsidR="00962063" w:rsidRPr="00A041D7" w:rsidRDefault="00962063" w:rsidP="00484B1F">
      <w:pPr>
        <w:spacing w:after="0" w:line="240" w:lineRule="auto"/>
        <w:jc w:val="both"/>
        <w:rPr>
          <w:rFonts w:ascii="Calibri" w:hAnsi="Calibri"/>
        </w:rPr>
      </w:pPr>
    </w:p>
    <w:p w:rsidR="00484B1F" w:rsidRPr="00A041D7" w:rsidRDefault="00484B1F" w:rsidP="00484B1F">
      <w:pPr>
        <w:spacing w:after="0" w:line="240" w:lineRule="auto"/>
        <w:ind w:firstLine="708"/>
        <w:jc w:val="both"/>
        <w:rPr>
          <w:rFonts w:ascii="Calibri" w:hAnsi="Calibri" w:cstheme="minorHAnsi"/>
          <w:u w:val="single"/>
        </w:rPr>
      </w:pPr>
      <w:r w:rsidRPr="00A041D7">
        <w:rPr>
          <w:rFonts w:ascii="Calibri" w:hAnsi="Calibri" w:cstheme="minorHAnsi"/>
        </w:rPr>
        <w:t xml:space="preserve">V měsíci červnu EURES poradkyně prováděla pravidelné aktualizace volných pracovních míst dle vymezené odpovědnosti, vedla individuální pohovory s uchazeči o zaměstnání v zahraničí i zaměstnavateli. </w:t>
      </w:r>
    </w:p>
    <w:p w:rsidR="00484B1F" w:rsidRPr="00A041D7" w:rsidRDefault="00484B1F" w:rsidP="00484B1F">
      <w:pPr>
        <w:spacing w:after="0" w:line="240" w:lineRule="auto"/>
        <w:ind w:firstLine="708"/>
        <w:jc w:val="both"/>
        <w:rPr>
          <w:rFonts w:ascii="Calibri" w:hAnsi="Calibri"/>
        </w:rPr>
      </w:pPr>
      <w:r w:rsidRPr="00A041D7">
        <w:rPr>
          <w:rFonts w:ascii="Calibri" w:hAnsi="Calibri" w:cstheme="minorHAnsi"/>
          <w:b/>
        </w:rPr>
        <w:t>2. 6. 2014</w:t>
      </w:r>
      <w:r w:rsidRPr="00A041D7">
        <w:rPr>
          <w:rFonts w:ascii="Calibri" w:hAnsi="Calibri" w:cstheme="minorHAnsi"/>
        </w:rPr>
        <w:t xml:space="preserve"> </w:t>
      </w:r>
      <w:r w:rsidRPr="00A041D7">
        <w:rPr>
          <w:rFonts w:ascii="Calibri" w:hAnsi="Calibri"/>
        </w:rPr>
        <w:t xml:space="preserve">proběhla na </w:t>
      </w:r>
      <w:proofErr w:type="spellStart"/>
      <w:r w:rsidRPr="00A041D7">
        <w:rPr>
          <w:rFonts w:ascii="Calibri" w:hAnsi="Calibri"/>
        </w:rPr>
        <w:t>KoP</w:t>
      </w:r>
      <w:proofErr w:type="spellEnd"/>
      <w:r w:rsidRPr="00A041D7">
        <w:rPr>
          <w:rFonts w:ascii="Calibri" w:hAnsi="Calibri"/>
        </w:rPr>
        <w:t xml:space="preserve"> Děčín </w:t>
      </w:r>
      <w:r w:rsidRPr="00A041D7">
        <w:rPr>
          <w:rFonts w:ascii="Calibri" w:hAnsi="Calibri"/>
          <w:b/>
        </w:rPr>
        <w:t xml:space="preserve">přednáška EURES pro zájemce o práci v EU/EHP, </w:t>
      </w:r>
      <w:r w:rsidRPr="00A041D7">
        <w:rPr>
          <w:rFonts w:ascii="Calibri" w:hAnsi="Calibri"/>
        </w:rPr>
        <w:t xml:space="preserve">poradenství bylo poskytnuto 32 zájemcům o práci v EU/EHP. </w:t>
      </w:r>
    </w:p>
    <w:p w:rsidR="00484B1F" w:rsidRPr="00A041D7" w:rsidRDefault="00484B1F" w:rsidP="00484B1F">
      <w:pPr>
        <w:spacing w:after="0" w:line="240" w:lineRule="auto"/>
        <w:ind w:firstLine="708"/>
        <w:jc w:val="both"/>
        <w:rPr>
          <w:rFonts w:ascii="Calibri" w:hAnsi="Calibri"/>
        </w:rPr>
      </w:pPr>
      <w:r w:rsidRPr="00A041D7">
        <w:rPr>
          <w:rFonts w:ascii="Calibri" w:hAnsi="Calibri"/>
          <w:b/>
        </w:rPr>
        <w:t>10. 6.</w:t>
      </w:r>
      <w:r w:rsidRPr="00A041D7">
        <w:rPr>
          <w:rFonts w:ascii="Calibri" w:hAnsi="Calibri"/>
        </w:rPr>
        <w:t xml:space="preserve"> </w:t>
      </w:r>
      <w:r w:rsidRPr="00A041D7">
        <w:rPr>
          <w:rFonts w:ascii="Calibri" w:hAnsi="Calibri" w:cstheme="minorHAnsi"/>
          <w:b/>
        </w:rPr>
        <w:t>2014</w:t>
      </w:r>
      <w:r w:rsidRPr="00A041D7">
        <w:rPr>
          <w:rFonts w:ascii="Calibri" w:hAnsi="Calibri" w:cstheme="minorHAnsi"/>
        </w:rPr>
        <w:t xml:space="preserve"> </w:t>
      </w:r>
      <w:r w:rsidRPr="00A041D7">
        <w:rPr>
          <w:rFonts w:ascii="Calibri" w:hAnsi="Calibri"/>
        </w:rPr>
        <w:t xml:space="preserve">se konal na ÚP ČR </w:t>
      </w:r>
      <w:proofErr w:type="spellStart"/>
      <w:r w:rsidRPr="00A041D7">
        <w:rPr>
          <w:rFonts w:ascii="Calibri" w:hAnsi="Calibri"/>
        </w:rPr>
        <w:t>KoP</w:t>
      </w:r>
      <w:proofErr w:type="spellEnd"/>
      <w:r w:rsidRPr="00A041D7">
        <w:rPr>
          <w:rFonts w:ascii="Calibri" w:hAnsi="Calibri"/>
        </w:rPr>
        <w:t xml:space="preserve"> v Ústí nad Labem </w:t>
      </w:r>
      <w:r w:rsidRPr="00A041D7">
        <w:rPr>
          <w:rFonts w:ascii="Calibri" w:hAnsi="Calibri"/>
          <w:b/>
        </w:rPr>
        <w:t>poradenský den pro uchazeče o práci v SRN</w:t>
      </w:r>
      <w:r w:rsidRPr="00A041D7">
        <w:rPr>
          <w:rFonts w:ascii="Calibri" w:hAnsi="Calibri"/>
        </w:rPr>
        <w:t xml:space="preserve">, kdy probíhaly individuální pohovory zájemců s EURES poradkyní Ramonou Zimmermann z Agentur </w:t>
      </w:r>
      <w:proofErr w:type="spellStart"/>
      <w:r w:rsidRPr="00A041D7">
        <w:rPr>
          <w:rFonts w:ascii="Calibri" w:hAnsi="Calibri"/>
        </w:rPr>
        <w:t>für</w:t>
      </w:r>
      <w:proofErr w:type="spellEnd"/>
      <w:r w:rsidRPr="00A041D7">
        <w:rPr>
          <w:rFonts w:ascii="Calibri" w:hAnsi="Calibri"/>
        </w:rPr>
        <w:t xml:space="preserve"> </w:t>
      </w:r>
      <w:proofErr w:type="spellStart"/>
      <w:r w:rsidRPr="00A041D7">
        <w:rPr>
          <w:rFonts w:ascii="Calibri" w:hAnsi="Calibri"/>
        </w:rPr>
        <w:t>Arbeit</w:t>
      </w:r>
      <w:proofErr w:type="spellEnd"/>
      <w:r w:rsidRPr="00A041D7">
        <w:rPr>
          <w:rFonts w:ascii="Calibri" w:hAnsi="Calibri"/>
        </w:rPr>
        <w:t xml:space="preserve"> </w:t>
      </w:r>
      <w:proofErr w:type="spellStart"/>
      <w:r w:rsidRPr="00A041D7">
        <w:rPr>
          <w:rFonts w:ascii="Calibri" w:hAnsi="Calibri"/>
        </w:rPr>
        <w:t>Pirna</w:t>
      </w:r>
      <w:proofErr w:type="spellEnd"/>
      <w:r w:rsidRPr="00A041D7">
        <w:rPr>
          <w:rFonts w:ascii="Calibri" w:hAnsi="Calibri"/>
        </w:rPr>
        <w:t>. Poradenství bylo poskytnuto 5 uchazečům. Toto individuální poradenství se koná pravidelně každý za měsíc.</w:t>
      </w:r>
    </w:p>
    <w:p w:rsidR="00484B1F" w:rsidRPr="00A041D7" w:rsidRDefault="00484B1F" w:rsidP="00484B1F">
      <w:pPr>
        <w:pStyle w:val="Default"/>
        <w:ind w:firstLine="708"/>
        <w:jc w:val="both"/>
        <w:rPr>
          <w:rFonts w:ascii="Calibri" w:hAnsi="Calibri"/>
          <w:color w:val="auto"/>
          <w:sz w:val="22"/>
          <w:szCs w:val="22"/>
        </w:rPr>
      </w:pPr>
      <w:r w:rsidRPr="00A041D7">
        <w:rPr>
          <w:rFonts w:ascii="Calibri" w:hAnsi="Calibri" w:cstheme="minorHAnsi"/>
          <w:b/>
          <w:color w:val="auto"/>
          <w:sz w:val="22"/>
          <w:szCs w:val="22"/>
        </w:rPr>
        <w:t>11. 6. 2014</w:t>
      </w:r>
      <w:r w:rsidRPr="00A041D7">
        <w:rPr>
          <w:rFonts w:ascii="Calibri" w:hAnsi="Calibri" w:cstheme="minorHAnsi"/>
          <w:color w:val="auto"/>
          <w:sz w:val="22"/>
          <w:szCs w:val="22"/>
        </w:rPr>
        <w:t xml:space="preserve"> </w:t>
      </w:r>
      <w:r w:rsidRPr="00A041D7">
        <w:rPr>
          <w:rFonts w:ascii="Calibri" w:hAnsi="Calibri"/>
          <w:color w:val="auto"/>
          <w:sz w:val="22"/>
          <w:szCs w:val="22"/>
        </w:rPr>
        <w:t xml:space="preserve">se EURES poradkyně zúčastnila </w:t>
      </w:r>
      <w:r w:rsidRPr="00A041D7">
        <w:rPr>
          <w:rFonts w:ascii="Calibri" w:hAnsi="Calibri"/>
          <w:b/>
          <w:color w:val="auto"/>
          <w:sz w:val="22"/>
          <w:szCs w:val="22"/>
        </w:rPr>
        <w:t xml:space="preserve">semináře </w:t>
      </w:r>
      <w:r w:rsidRPr="00A041D7">
        <w:rPr>
          <w:rFonts w:ascii="Calibri" w:hAnsi="Calibri"/>
          <w:b/>
          <w:bCs/>
          <w:color w:val="auto"/>
          <w:sz w:val="22"/>
          <w:szCs w:val="22"/>
        </w:rPr>
        <w:t xml:space="preserve">Vysílání pracovníků a přeshraniční poskytování služeb v praktických příkladech, </w:t>
      </w:r>
      <w:r w:rsidRPr="00A041D7">
        <w:rPr>
          <w:rFonts w:ascii="Calibri" w:hAnsi="Calibri"/>
          <w:color w:val="auto"/>
          <w:sz w:val="22"/>
          <w:szCs w:val="22"/>
        </w:rPr>
        <w:t xml:space="preserve">pořádaného </w:t>
      </w:r>
      <w:proofErr w:type="spellStart"/>
      <w:r w:rsidRPr="00A041D7">
        <w:rPr>
          <w:rFonts w:ascii="Calibri" w:hAnsi="Calibri"/>
          <w:color w:val="auto"/>
          <w:sz w:val="22"/>
          <w:szCs w:val="22"/>
        </w:rPr>
        <w:t>Enterprise</w:t>
      </w:r>
      <w:proofErr w:type="spellEnd"/>
      <w:r w:rsidRPr="00A041D7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A041D7">
        <w:rPr>
          <w:rFonts w:ascii="Calibri" w:hAnsi="Calibri"/>
          <w:color w:val="auto"/>
          <w:sz w:val="22"/>
          <w:szCs w:val="22"/>
        </w:rPr>
        <w:t>Europe</w:t>
      </w:r>
      <w:proofErr w:type="spellEnd"/>
      <w:r w:rsidRPr="00A041D7">
        <w:rPr>
          <w:rFonts w:ascii="Calibri" w:hAnsi="Calibri"/>
          <w:color w:val="auto"/>
          <w:sz w:val="22"/>
          <w:szCs w:val="22"/>
        </w:rPr>
        <w:t xml:space="preserve"> Network v Technologickém centru AV v Praze.  Seminář vedla přední specialistka na tuto problematiku, RNDr. Jitka Ryšavá.</w:t>
      </w:r>
    </w:p>
    <w:p w:rsidR="00484B1F" w:rsidRPr="00A041D7" w:rsidRDefault="00484B1F" w:rsidP="00484B1F">
      <w:pPr>
        <w:pStyle w:val="Bezmezer"/>
        <w:jc w:val="both"/>
        <w:rPr>
          <w:rFonts w:ascii="Calibri" w:hAnsi="Calibri"/>
          <w:sz w:val="22"/>
          <w:szCs w:val="22"/>
        </w:rPr>
      </w:pPr>
      <w:r w:rsidRPr="00A041D7">
        <w:rPr>
          <w:rFonts w:ascii="Calibri" w:hAnsi="Calibri"/>
          <w:sz w:val="22"/>
          <w:szCs w:val="22"/>
        </w:rPr>
        <w:t xml:space="preserve"> </w:t>
      </w:r>
      <w:r w:rsidRPr="00A041D7">
        <w:rPr>
          <w:rFonts w:ascii="Calibri" w:hAnsi="Calibri"/>
          <w:sz w:val="22"/>
          <w:szCs w:val="22"/>
        </w:rPr>
        <w:tab/>
      </w:r>
      <w:r w:rsidRPr="00A041D7">
        <w:rPr>
          <w:rFonts w:ascii="Calibri" w:hAnsi="Calibri"/>
          <w:b/>
          <w:sz w:val="22"/>
          <w:szCs w:val="22"/>
        </w:rPr>
        <w:t>17. 6. 2014</w:t>
      </w:r>
      <w:r w:rsidRPr="00A041D7">
        <w:rPr>
          <w:rFonts w:ascii="Calibri" w:hAnsi="Calibri"/>
          <w:sz w:val="22"/>
          <w:szCs w:val="22"/>
        </w:rPr>
        <w:t xml:space="preserve"> se v Praze na Právnické fakultě UK konal </w:t>
      </w:r>
      <w:r w:rsidRPr="00A041D7">
        <w:rPr>
          <w:rFonts w:ascii="Calibri" w:hAnsi="Calibri"/>
          <w:b/>
          <w:sz w:val="22"/>
          <w:szCs w:val="22"/>
        </w:rPr>
        <w:t xml:space="preserve">seminář </w:t>
      </w:r>
      <w:r w:rsidRPr="00A041D7">
        <w:rPr>
          <w:rFonts w:ascii="Calibri" w:hAnsi="Calibri"/>
          <w:sz w:val="22"/>
          <w:szCs w:val="22"/>
        </w:rPr>
        <w:t xml:space="preserve">odborné sítě </w:t>
      </w:r>
      <w:proofErr w:type="spellStart"/>
      <w:r w:rsidRPr="00A041D7">
        <w:rPr>
          <w:rFonts w:ascii="Calibri" w:hAnsi="Calibri"/>
          <w:sz w:val="22"/>
          <w:szCs w:val="22"/>
        </w:rPr>
        <w:t>FreSsco</w:t>
      </w:r>
      <w:proofErr w:type="spellEnd"/>
      <w:r w:rsidRPr="00A041D7">
        <w:rPr>
          <w:rFonts w:ascii="Calibri" w:hAnsi="Calibri"/>
          <w:sz w:val="22"/>
          <w:szCs w:val="22"/>
        </w:rPr>
        <w:t xml:space="preserve"> na téma </w:t>
      </w:r>
      <w:r w:rsidRPr="00A041D7">
        <w:rPr>
          <w:rFonts w:ascii="Calibri" w:hAnsi="Calibri" w:cs="Arial"/>
          <w:b/>
          <w:sz w:val="22"/>
          <w:szCs w:val="22"/>
        </w:rPr>
        <w:t xml:space="preserve">Práva pracovníků v souvislosti s jejich volným pohybem a vybrané současné otázky koordinace v ČR. </w:t>
      </w:r>
      <w:r w:rsidRPr="00A041D7">
        <w:rPr>
          <w:rFonts w:ascii="Calibri" w:hAnsi="Calibri" w:cs="Arial"/>
          <w:sz w:val="22"/>
          <w:szCs w:val="22"/>
        </w:rPr>
        <w:t>Řešeny byly kromě jiného otázky přeshraničního pronájmu pracovních sil nebo poslední vývoj v koordinaci sociálních systémů v EU/EHP.</w:t>
      </w:r>
    </w:p>
    <w:p w:rsidR="00484B1F" w:rsidRPr="00A041D7" w:rsidRDefault="00484B1F" w:rsidP="00484B1F">
      <w:pPr>
        <w:spacing w:after="0" w:line="240" w:lineRule="auto"/>
        <w:ind w:firstLine="708"/>
        <w:jc w:val="both"/>
        <w:rPr>
          <w:rFonts w:ascii="Calibri" w:hAnsi="Calibri"/>
          <w:b/>
        </w:rPr>
      </w:pPr>
      <w:r w:rsidRPr="00A041D7">
        <w:rPr>
          <w:rFonts w:ascii="Calibri" w:hAnsi="Calibri"/>
          <w:b/>
        </w:rPr>
        <w:t xml:space="preserve">23. 6. 2014 </w:t>
      </w:r>
      <w:r w:rsidRPr="00A041D7">
        <w:rPr>
          <w:rFonts w:ascii="Calibri" w:hAnsi="Calibri"/>
        </w:rPr>
        <w:t>se EURES poradkyně zúčastnila jednání pra</w:t>
      </w:r>
      <w:r w:rsidR="00CE4291">
        <w:rPr>
          <w:rFonts w:ascii="Calibri" w:hAnsi="Calibri"/>
        </w:rPr>
        <w:t>covní skupiny NUTS2 Severozápad</w:t>
      </w:r>
      <w:r w:rsidR="00CE4291">
        <w:rPr>
          <w:rFonts w:ascii="Calibri" w:hAnsi="Calibri"/>
        </w:rPr>
        <w:br/>
      </w:r>
      <w:r w:rsidRPr="00A041D7">
        <w:rPr>
          <w:rFonts w:ascii="Calibri" w:hAnsi="Calibri"/>
        </w:rPr>
        <w:t xml:space="preserve">na GŘ ÚP ČR v Praze. Tématem bylo projednání možnosti spolupráce s německými úřady </w:t>
      </w:r>
      <w:r w:rsidR="00CE4291">
        <w:rPr>
          <w:rFonts w:ascii="Calibri" w:hAnsi="Calibri"/>
        </w:rPr>
        <w:t xml:space="preserve">práce při tvorbě programu </w:t>
      </w:r>
      <w:r w:rsidRPr="00A041D7">
        <w:rPr>
          <w:rFonts w:ascii="Calibri" w:hAnsi="Calibri"/>
        </w:rPr>
        <w:t>či projektu Stáže do zahraničí.</w:t>
      </w:r>
      <w:r w:rsidRPr="00A041D7">
        <w:rPr>
          <w:rFonts w:ascii="Calibri" w:hAnsi="Calibri"/>
          <w:b/>
        </w:rPr>
        <w:t xml:space="preserve"> </w:t>
      </w:r>
    </w:p>
    <w:p w:rsidR="00484B1F" w:rsidRPr="00A041D7" w:rsidRDefault="00484B1F" w:rsidP="00484B1F">
      <w:pPr>
        <w:spacing w:after="0" w:line="240" w:lineRule="auto"/>
        <w:ind w:firstLine="708"/>
        <w:jc w:val="both"/>
        <w:rPr>
          <w:rFonts w:ascii="Calibri" w:hAnsi="Calibri"/>
        </w:rPr>
      </w:pPr>
      <w:r w:rsidRPr="00A041D7">
        <w:rPr>
          <w:rFonts w:ascii="Calibri" w:hAnsi="Calibri"/>
          <w:b/>
        </w:rPr>
        <w:t xml:space="preserve">26. 6. 2014 </w:t>
      </w:r>
      <w:r w:rsidRPr="00A041D7">
        <w:rPr>
          <w:rFonts w:ascii="Calibri" w:hAnsi="Calibri"/>
        </w:rPr>
        <w:t xml:space="preserve">se EURES poradkyně zúčastnila </w:t>
      </w:r>
      <w:r w:rsidRPr="00A041D7">
        <w:rPr>
          <w:rFonts w:ascii="Calibri" w:hAnsi="Calibri"/>
          <w:b/>
        </w:rPr>
        <w:t xml:space="preserve">kazuistického semináře </w:t>
      </w:r>
      <w:r w:rsidRPr="00A041D7">
        <w:rPr>
          <w:rFonts w:ascii="Calibri" w:hAnsi="Calibri"/>
        </w:rPr>
        <w:t>na téma</w:t>
      </w:r>
      <w:r w:rsidRPr="00A041D7">
        <w:rPr>
          <w:rFonts w:ascii="Calibri" w:hAnsi="Calibri"/>
          <w:b/>
        </w:rPr>
        <w:t xml:space="preserve"> „Nejčastější problémy a dotazy zájemců o práci v EU/EHP a jejich řešení“</w:t>
      </w:r>
      <w:r w:rsidRPr="00A041D7">
        <w:rPr>
          <w:rFonts w:ascii="Calibri" w:hAnsi="Calibri"/>
        </w:rPr>
        <w:t xml:space="preserve">, který se konal na </w:t>
      </w:r>
      <w:proofErr w:type="spellStart"/>
      <w:r w:rsidRPr="00A041D7">
        <w:rPr>
          <w:rFonts w:ascii="Calibri" w:hAnsi="Calibri"/>
        </w:rPr>
        <w:t>KoP</w:t>
      </w:r>
      <w:proofErr w:type="spellEnd"/>
      <w:r w:rsidRPr="00A041D7">
        <w:rPr>
          <w:rFonts w:ascii="Calibri" w:hAnsi="Calibri"/>
        </w:rPr>
        <w:t xml:space="preserve"> Most. </w:t>
      </w:r>
    </w:p>
    <w:p w:rsidR="00AB743D" w:rsidRPr="00A041D7" w:rsidRDefault="00484B1F" w:rsidP="00AB743D">
      <w:pPr>
        <w:spacing w:after="0" w:line="240" w:lineRule="auto"/>
        <w:ind w:firstLine="708"/>
        <w:jc w:val="both"/>
        <w:rPr>
          <w:rFonts w:ascii="Calibri" w:hAnsi="Calibri"/>
          <w:b/>
        </w:rPr>
      </w:pPr>
      <w:r w:rsidRPr="00A041D7">
        <w:rPr>
          <w:rFonts w:ascii="Calibri" w:hAnsi="Calibri"/>
        </w:rPr>
        <w:t>Byly také zahájeny organizační přípravy na 5. přeshraniční burzu pracovních příležitostí</w:t>
      </w:r>
      <w:r w:rsidR="00AB743D" w:rsidRPr="00A041D7">
        <w:rPr>
          <w:rFonts w:ascii="Calibri" w:hAnsi="Calibri"/>
        </w:rPr>
        <w:t>, která se bude</w:t>
      </w:r>
      <w:r w:rsidR="00AB743D" w:rsidRPr="00A041D7">
        <w:rPr>
          <w:rFonts w:ascii="Calibri" w:hAnsi="Calibri"/>
          <w:b/>
        </w:rPr>
        <w:t xml:space="preserve"> </w:t>
      </w:r>
      <w:r w:rsidRPr="00A041D7">
        <w:rPr>
          <w:rFonts w:ascii="Calibri" w:hAnsi="Calibri"/>
        </w:rPr>
        <w:t>konat dne 23. 9. 2014 od 10:00 -15:00 v </w:t>
      </w:r>
      <w:proofErr w:type="spellStart"/>
      <w:r w:rsidRPr="00A041D7">
        <w:rPr>
          <w:rFonts w:ascii="Calibri" w:hAnsi="Calibri"/>
        </w:rPr>
        <w:t>Clarion</w:t>
      </w:r>
      <w:proofErr w:type="spellEnd"/>
      <w:r w:rsidRPr="00A041D7">
        <w:rPr>
          <w:rFonts w:ascii="Calibri" w:hAnsi="Calibri"/>
        </w:rPr>
        <w:t xml:space="preserve"> </w:t>
      </w:r>
      <w:proofErr w:type="spellStart"/>
      <w:r w:rsidRPr="00A041D7">
        <w:rPr>
          <w:rFonts w:ascii="Calibri" w:hAnsi="Calibri"/>
        </w:rPr>
        <w:t>Congress</w:t>
      </w:r>
      <w:proofErr w:type="spellEnd"/>
      <w:r w:rsidRPr="00A041D7">
        <w:rPr>
          <w:rFonts w:ascii="Calibri" w:hAnsi="Calibri"/>
        </w:rPr>
        <w:t xml:space="preserve"> Hotelu v Ústí nad Labem.</w:t>
      </w:r>
    </w:p>
    <w:p w:rsidR="00671284" w:rsidRDefault="00484B1F" w:rsidP="00671284">
      <w:pPr>
        <w:spacing w:after="0" w:line="240" w:lineRule="auto"/>
        <w:ind w:firstLine="708"/>
        <w:jc w:val="both"/>
        <w:rPr>
          <w:rFonts w:ascii="Calibri" w:hAnsi="Calibri" w:cstheme="minorHAnsi"/>
        </w:rPr>
      </w:pPr>
      <w:r w:rsidRPr="00A041D7">
        <w:rPr>
          <w:rFonts w:ascii="Calibri" w:hAnsi="Calibri" w:cstheme="minorHAnsi"/>
        </w:rPr>
        <w:t xml:space="preserve">V měsíci </w:t>
      </w:r>
      <w:r w:rsidRPr="00A041D7">
        <w:rPr>
          <w:rFonts w:ascii="Calibri" w:hAnsi="Calibri" w:cstheme="minorHAnsi"/>
          <w:b/>
        </w:rPr>
        <w:t>červnu 2014</w:t>
      </w:r>
      <w:r w:rsidRPr="00A041D7">
        <w:rPr>
          <w:rFonts w:ascii="Calibri" w:hAnsi="Calibri" w:cstheme="minorHAnsi"/>
        </w:rPr>
        <w:t xml:space="preserve"> byl zaznamenán stálý zájem uchazečů o práci v EU/EHP. Se zvyšujícím se počtem českých pracovníků v zahraničí se zvyšuje také zájem o informace týkající se životních a pracovních podmínek zejména v SRN, Lucembursku, Rakousku, Nizozemsku, Velké Británii nebo ve skandinávských zemích. Dotazy se stále častěji dotýkají problémů koordinace sociálních dávek v rámci EU/EHP, zasahují stále hlouběji do pracovně-právní nebo daňové problematiky. </w:t>
      </w:r>
    </w:p>
    <w:p w:rsidR="00AE46A9" w:rsidRPr="00671284" w:rsidRDefault="00484B1F" w:rsidP="00671284">
      <w:pPr>
        <w:spacing w:after="0" w:line="240" w:lineRule="auto"/>
        <w:ind w:firstLine="708"/>
        <w:jc w:val="both"/>
        <w:rPr>
          <w:rFonts w:ascii="Calibri" w:hAnsi="Calibri"/>
          <w:b/>
        </w:rPr>
      </w:pPr>
      <w:r w:rsidRPr="00A041D7">
        <w:rPr>
          <w:rFonts w:ascii="Calibri" w:hAnsi="Calibri" w:cstheme="minorHAnsi"/>
        </w:rPr>
        <w:lastRenderedPageBreak/>
        <w:t>Během tohoto měsíce došlo k celkem  </w:t>
      </w:r>
      <w:r w:rsidRPr="00A041D7">
        <w:rPr>
          <w:rFonts w:ascii="Calibri" w:hAnsi="Calibri" w:cstheme="minorHAnsi"/>
          <w:b/>
        </w:rPr>
        <w:t>370</w:t>
      </w:r>
      <w:r w:rsidRPr="00A041D7">
        <w:rPr>
          <w:rFonts w:ascii="Calibri" w:hAnsi="Calibri" w:cstheme="minorHAnsi"/>
        </w:rPr>
        <w:t xml:space="preserve"> kontaktům se zájemci o zaměstnání, resp. se zaměstnavateli (31), a to formou osobní návštěvy (58), telefonického rozhovoru (143) a e-mailové korespondence (138), v rámci výše zmíněných skupinových přednášek (3)</w:t>
      </w:r>
      <w:r w:rsidR="00AB743D" w:rsidRPr="00A041D7">
        <w:rPr>
          <w:rFonts w:ascii="Calibri" w:hAnsi="Calibri" w:cstheme="minorHAnsi"/>
        </w:rPr>
        <w:t xml:space="preserve"> </w:t>
      </w:r>
      <w:r w:rsidRPr="00A041D7">
        <w:rPr>
          <w:rFonts w:ascii="Calibri" w:hAnsi="Calibri" w:cstheme="minorHAnsi"/>
        </w:rPr>
        <w:t xml:space="preserve">potom byly poskytnuty informace o službách </w:t>
      </w:r>
      <w:r w:rsidRPr="00A041D7">
        <w:rPr>
          <w:rFonts w:cstheme="minorHAnsi"/>
        </w:rPr>
        <w:t>EURES 50 zájemcům. 8 kontaktních osob EURES na úrovni okresů nahlásilo za měsíc červen vyřízení celkem 42 informačních požadavků služby EURES.</w:t>
      </w:r>
    </w:p>
    <w:p w:rsidR="00AB743D" w:rsidRPr="00A041D7" w:rsidRDefault="00AB743D" w:rsidP="00A041D7">
      <w:pPr>
        <w:pStyle w:val="Nadpis1"/>
        <w:jc w:val="both"/>
        <w:rPr>
          <w:b/>
          <w:caps/>
          <w:szCs w:val="22"/>
        </w:rPr>
      </w:pPr>
    </w:p>
    <w:p w:rsidR="00E253B3" w:rsidRPr="00A041D7" w:rsidRDefault="002876E8" w:rsidP="00A041D7">
      <w:pPr>
        <w:pStyle w:val="Nadpis1"/>
        <w:jc w:val="both"/>
        <w:rPr>
          <w:b/>
          <w:caps/>
          <w:szCs w:val="22"/>
        </w:rPr>
      </w:pPr>
      <w:bookmarkStart w:id="9" w:name="_Toc393271598"/>
      <w:r w:rsidRPr="00A041D7">
        <w:rPr>
          <w:b/>
          <w:caps/>
          <w:szCs w:val="22"/>
        </w:rPr>
        <w:t>9</w:t>
      </w:r>
      <w:r w:rsidR="00C525FC" w:rsidRPr="00A041D7">
        <w:rPr>
          <w:b/>
          <w:caps/>
          <w:szCs w:val="22"/>
        </w:rPr>
        <w:t xml:space="preserve">. </w:t>
      </w:r>
      <w:r w:rsidR="00E253B3" w:rsidRPr="00A041D7">
        <w:rPr>
          <w:b/>
          <w:caps/>
          <w:szCs w:val="22"/>
        </w:rPr>
        <w:t>Kontrolní a inspekční činnost</w:t>
      </w:r>
      <w:r w:rsidR="005A44FE" w:rsidRPr="00A041D7">
        <w:rPr>
          <w:b/>
          <w:caps/>
          <w:szCs w:val="22"/>
        </w:rPr>
        <w:t xml:space="preserve"> NA KRP ÚSTÍ NAD lABEM</w:t>
      </w:r>
      <w:bookmarkEnd w:id="9"/>
    </w:p>
    <w:p w:rsidR="00E253B3" w:rsidRPr="00A041D7" w:rsidRDefault="00E253B3" w:rsidP="00A041D7">
      <w:pPr>
        <w:spacing w:after="0" w:line="240" w:lineRule="auto"/>
        <w:jc w:val="both"/>
      </w:pPr>
    </w:p>
    <w:p w:rsidR="00A041D7" w:rsidRPr="00A041D7" w:rsidRDefault="00A041D7" w:rsidP="00A041D7">
      <w:pPr>
        <w:spacing w:after="0" w:line="240" w:lineRule="auto"/>
        <w:jc w:val="both"/>
      </w:pPr>
      <w:r w:rsidRPr="00A041D7">
        <w:t>Kontrolní a inspekční činnost je prováděna na základě schválenýc</w:t>
      </w:r>
      <w:r>
        <w:t>h plánů dle jednotlivých agend,</w:t>
      </w:r>
      <w:r>
        <w:br/>
      </w:r>
      <w:r w:rsidRPr="00A041D7">
        <w:t>či na základě přijatých podnětů.</w:t>
      </w:r>
      <w:r>
        <w:t xml:space="preserve"> </w:t>
      </w:r>
      <w:r w:rsidRPr="00A041D7">
        <w:t>Referát specializovaných kontrol Krajské pobočka v Ústí nad Labem provádí:</w:t>
      </w:r>
    </w:p>
    <w:p w:rsidR="00A041D7" w:rsidRPr="00A041D7" w:rsidRDefault="00A041D7" w:rsidP="00A041D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A041D7">
        <w:t xml:space="preserve">následné veřejnosprávní kontroly, </w:t>
      </w:r>
    </w:p>
    <w:p w:rsidR="00A041D7" w:rsidRPr="00A041D7" w:rsidRDefault="00A041D7" w:rsidP="00A041D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A041D7">
        <w:t xml:space="preserve">kontroly podle zákona o státní sociální podpoře </w:t>
      </w:r>
    </w:p>
    <w:p w:rsidR="00A041D7" w:rsidRPr="00A041D7" w:rsidRDefault="00A041D7" w:rsidP="00A041D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A041D7">
        <w:t>inspekce poskytování sociálních služeb</w:t>
      </w:r>
    </w:p>
    <w:p w:rsidR="00A041D7" w:rsidRPr="00A041D7" w:rsidRDefault="00A041D7" w:rsidP="00A041D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A041D7">
        <w:t>kontroly průměrného čistého měsíčního výdělku.</w:t>
      </w:r>
    </w:p>
    <w:p w:rsidR="00A041D7" w:rsidRPr="00A041D7" w:rsidRDefault="00A041D7" w:rsidP="00A041D7">
      <w:pPr>
        <w:spacing w:after="0" w:line="240" w:lineRule="auto"/>
        <w:jc w:val="both"/>
      </w:pPr>
      <w:r w:rsidRPr="00A041D7">
        <w:t>Dále pracovnice referátu spolupracují s útvarem zaměstnanosti při kontrole investičních pobídek.</w:t>
      </w:r>
    </w:p>
    <w:p w:rsidR="00A041D7" w:rsidRDefault="00A041D7" w:rsidP="00A041D7">
      <w:pPr>
        <w:spacing w:after="0" w:line="240" w:lineRule="auto"/>
        <w:jc w:val="both"/>
      </w:pPr>
    </w:p>
    <w:p w:rsidR="00A041D7" w:rsidRPr="00A041D7" w:rsidRDefault="00A041D7" w:rsidP="00A041D7">
      <w:pPr>
        <w:spacing w:after="0" w:line="240" w:lineRule="auto"/>
        <w:jc w:val="both"/>
      </w:pPr>
      <w:r w:rsidRPr="00A041D7">
        <w:rPr>
          <w:b/>
          <w:u w:val="single"/>
        </w:rPr>
        <w:t>Podle zákona č. 320/2001 Sb., o finanční kontrole</w:t>
      </w:r>
      <w:r>
        <w:t xml:space="preserve"> -</w:t>
      </w:r>
      <w:r w:rsidRPr="00A041D7">
        <w:t xml:space="preserve"> tzv. veřejnosprávní kontroly.</w:t>
      </w:r>
      <w:r>
        <w:t xml:space="preserve"> </w:t>
      </w:r>
      <w:r w:rsidRPr="00A041D7">
        <w:t>Při výkonu těchto kontrol jsou dodržována procesní pravidla daná zákonem č. 255/2012 Sb., o kontrole (kontrolní řád), který vstoupil v účinnost od 1. ledna 2014.</w:t>
      </w:r>
      <w:r>
        <w:t xml:space="preserve"> </w:t>
      </w:r>
      <w:r w:rsidRPr="00A041D7">
        <w:t xml:space="preserve">V červnu 2014 bylo zahájeno 29 kontrol, ukončeno bylo 27 kontrol. </w:t>
      </w:r>
    </w:p>
    <w:p w:rsidR="00A041D7" w:rsidRPr="00A041D7" w:rsidRDefault="00A041D7" w:rsidP="00A041D7">
      <w:pPr>
        <w:spacing w:after="0" w:line="240" w:lineRule="auto"/>
        <w:ind w:firstLine="708"/>
        <w:jc w:val="both"/>
      </w:pPr>
      <w:r w:rsidRPr="00A041D7">
        <w:t xml:space="preserve">Pro potřeby oddělení zaměstnanosti na krajské pobočce a pro podporu rozhodování o poskytnutí příspěvků z APZ na kontaktních pracovištích, je zpracován přehled „Rekapitulace výsledků následných veřejnosprávních kontrol“ za měsíc červen, kde jsou </w:t>
      </w:r>
      <w:r>
        <w:t xml:space="preserve">uvedeny úkony provedené v tomto měsíci. </w:t>
      </w:r>
      <w:r w:rsidRPr="00A041D7">
        <w:t>Rekapitulace obsahuje následné veřejnosprávní kontroly, které byly u příjemců veřejné finanční podpory bez zjištění, dále pak i kontroly, kde bylo zjištěno porušení dohod s popisem jejich porušení.</w:t>
      </w:r>
    </w:p>
    <w:p w:rsidR="00A041D7" w:rsidRPr="00A041D7" w:rsidRDefault="00A041D7" w:rsidP="00A041D7">
      <w:pPr>
        <w:spacing w:after="0" w:line="240" w:lineRule="auto"/>
        <w:ind w:firstLine="708"/>
        <w:jc w:val="both"/>
        <w:rPr>
          <w:color w:val="000000"/>
        </w:rPr>
      </w:pPr>
      <w:r w:rsidRPr="00A041D7">
        <w:t xml:space="preserve">V uvedeném období byly zaslány </w:t>
      </w:r>
      <w:r>
        <w:t>3</w:t>
      </w:r>
      <w:r w:rsidRPr="00A041D7">
        <w:t xml:space="preserve"> výzvy k vrácení finančních prostředků příjemcem finanční podpory v celkové výši 69 472,60 Kč.</w:t>
      </w:r>
    </w:p>
    <w:p w:rsidR="00A041D7" w:rsidRPr="00A041D7" w:rsidRDefault="00A041D7" w:rsidP="00A041D7">
      <w:pPr>
        <w:spacing w:after="0" w:line="240" w:lineRule="auto"/>
        <w:jc w:val="both"/>
      </w:pPr>
    </w:p>
    <w:p w:rsidR="00A041D7" w:rsidRPr="00A041D7" w:rsidRDefault="00A041D7" w:rsidP="00A041D7">
      <w:pPr>
        <w:spacing w:after="0" w:line="240" w:lineRule="auto"/>
        <w:jc w:val="both"/>
      </w:pPr>
      <w:r w:rsidRPr="00A041D7">
        <w:rPr>
          <w:b/>
          <w:u w:val="single"/>
        </w:rPr>
        <w:t>Podle zákona č. 117/1995 Sb., o státní sociální podpoře</w:t>
      </w:r>
      <w:r w:rsidRPr="00A041D7">
        <w:t xml:space="preserve"> bylo zahájeno 45 kontrol, ukončeno </w:t>
      </w:r>
      <w:r>
        <w:t>bylo</w:t>
      </w:r>
      <w:r>
        <w:br/>
      </w:r>
      <w:r w:rsidRPr="00A041D7">
        <w:t>40</w:t>
      </w:r>
      <w:r>
        <w:t xml:space="preserve"> </w:t>
      </w:r>
      <w:r w:rsidRPr="00A041D7">
        <w:t>kontrol.</w:t>
      </w:r>
      <w:r>
        <w:t xml:space="preserve"> </w:t>
      </w:r>
      <w:r w:rsidRPr="00A041D7">
        <w:t>Z těchto provedených kontrol byly vyčísleny přeplatky na výplatách dávek SSP v celkové výši 234 652,00 Kč.</w:t>
      </w:r>
    </w:p>
    <w:p w:rsidR="00A041D7" w:rsidRPr="00A041D7" w:rsidRDefault="00A041D7" w:rsidP="00A041D7">
      <w:pPr>
        <w:spacing w:after="0" w:line="240" w:lineRule="auto"/>
        <w:jc w:val="both"/>
        <w:rPr>
          <w:b/>
          <w:u w:val="single"/>
        </w:rPr>
      </w:pPr>
    </w:p>
    <w:p w:rsidR="00A041D7" w:rsidRPr="003A52A5" w:rsidRDefault="00A041D7" w:rsidP="00A041D7">
      <w:pPr>
        <w:spacing w:after="0" w:line="240" w:lineRule="auto"/>
        <w:jc w:val="both"/>
      </w:pPr>
      <w:r w:rsidRPr="00A041D7">
        <w:rPr>
          <w:b/>
          <w:u w:val="single"/>
        </w:rPr>
        <w:t>Inspekce poskytování sociálních služeb</w:t>
      </w:r>
      <w:r w:rsidRPr="00A041D7">
        <w:t xml:space="preserve"> </w:t>
      </w:r>
      <w:r>
        <w:t>-</w:t>
      </w:r>
      <w:r w:rsidRPr="00A041D7">
        <w:t xml:space="preserve"> v uvedeném období byly zahájeny </w:t>
      </w:r>
      <w:r>
        <w:t>4</w:t>
      </w:r>
      <w:r w:rsidRPr="00A041D7">
        <w:t xml:space="preserve"> inspekce poskytování </w:t>
      </w:r>
      <w:r w:rsidRPr="003A52A5">
        <w:t>sociálních služeb a 4 byly ukončeny. V jednom případě došlo k zahájení správního řízení o uložení pokuty v celkové výši 1 000,00 Kč.</w:t>
      </w:r>
    </w:p>
    <w:p w:rsidR="00A041D7" w:rsidRPr="003A52A5" w:rsidRDefault="00A041D7" w:rsidP="00A041D7">
      <w:pPr>
        <w:spacing w:after="0" w:line="240" w:lineRule="auto"/>
        <w:jc w:val="both"/>
        <w:rPr>
          <w:b/>
          <w:u w:val="single"/>
        </w:rPr>
      </w:pPr>
    </w:p>
    <w:p w:rsidR="00A041D7" w:rsidRPr="003A52A5" w:rsidRDefault="00A041D7" w:rsidP="00A041D7">
      <w:pPr>
        <w:spacing w:after="0" w:line="240" w:lineRule="auto"/>
        <w:jc w:val="both"/>
      </w:pPr>
      <w:r w:rsidRPr="003A52A5">
        <w:rPr>
          <w:b/>
          <w:u w:val="single"/>
        </w:rPr>
        <w:t>Podle zákona č. 435/2004 Sb., o zaměstnanosti</w:t>
      </w:r>
      <w:r w:rsidRPr="003A52A5">
        <w:t xml:space="preserve"> byla provedena 1 kontrola průměrného měsíčního čistého výdělku.</w:t>
      </w:r>
    </w:p>
    <w:p w:rsidR="00AB743D" w:rsidRPr="003A52A5" w:rsidRDefault="00AB743D" w:rsidP="00A041D7">
      <w:pPr>
        <w:pStyle w:val="Nadpis1"/>
        <w:jc w:val="both"/>
        <w:rPr>
          <w:b/>
          <w:caps/>
          <w:szCs w:val="22"/>
        </w:rPr>
      </w:pPr>
    </w:p>
    <w:p w:rsidR="00E253B3" w:rsidRPr="003A52A5" w:rsidRDefault="002876E8" w:rsidP="00A041D7">
      <w:pPr>
        <w:pStyle w:val="Nadpis1"/>
        <w:jc w:val="both"/>
        <w:rPr>
          <w:b/>
          <w:caps/>
          <w:szCs w:val="22"/>
        </w:rPr>
      </w:pPr>
      <w:bookmarkStart w:id="10" w:name="_Toc393271599"/>
      <w:r w:rsidRPr="003A52A5">
        <w:rPr>
          <w:b/>
          <w:caps/>
          <w:szCs w:val="22"/>
        </w:rPr>
        <w:t>10</w:t>
      </w:r>
      <w:r w:rsidR="00E253B3" w:rsidRPr="003A52A5">
        <w:rPr>
          <w:b/>
          <w:caps/>
          <w:szCs w:val="22"/>
        </w:rPr>
        <w:t xml:space="preserve">. </w:t>
      </w:r>
      <w:r w:rsidR="00D60461" w:rsidRPr="003A52A5">
        <w:rPr>
          <w:b/>
          <w:caps/>
          <w:szCs w:val="22"/>
        </w:rPr>
        <w:t>Podpora odborného vzdělávání zaměstnanců</w:t>
      </w:r>
      <w:r w:rsidR="00531B57" w:rsidRPr="003A52A5">
        <w:rPr>
          <w:b/>
          <w:caps/>
          <w:szCs w:val="22"/>
        </w:rPr>
        <w:t xml:space="preserve"> v Ústeckém kraji</w:t>
      </w:r>
      <w:bookmarkEnd w:id="10"/>
    </w:p>
    <w:p w:rsidR="00996021" w:rsidRPr="003A52A5" w:rsidRDefault="00996021" w:rsidP="00A041D7">
      <w:pPr>
        <w:spacing w:after="0" w:line="240" w:lineRule="auto"/>
        <w:jc w:val="both"/>
        <w:rPr>
          <w:lang w:eastAsia="cs-CZ"/>
        </w:rPr>
      </w:pPr>
    </w:p>
    <w:p w:rsidR="00D60461" w:rsidRPr="00CE4291" w:rsidRDefault="00D60461" w:rsidP="00CE4291">
      <w:pPr>
        <w:spacing w:after="0" w:line="240" w:lineRule="auto"/>
        <w:ind w:firstLine="708"/>
        <w:jc w:val="both"/>
      </w:pPr>
      <w:r w:rsidRPr="003A52A5">
        <w:t xml:space="preserve">Úřad práce ČR, Krajská pobočka v Ústí nad Labem se podílí na realizaci projektu „Podpora odborného vzdělávání zaměstnanců“. Projekt je realizován v období 1. 12. 2013 - 31. 8. 2015 v rámci Operačního programu Lidské zdroje a zaměstnanost a navazuje na sérii projektů, které jsou v ČR realizovány od roku 2009 s </w:t>
      </w:r>
      <w:r w:rsidRPr="00CE4291">
        <w:t>cílem podpořit odborný rozvoj zaměstnanců.</w:t>
      </w:r>
    </w:p>
    <w:p w:rsidR="00D60461" w:rsidRPr="00CE4291" w:rsidRDefault="00D60461" w:rsidP="00CE4291">
      <w:pPr>
        <w:spacing w:after="0" w:line="240" w:lineRule="auto"/>
        <w:ind w:firstLine="708"/>
        <w:jc w:val="both"/>
      </w:pPr>
      <w:r w:rsidRPr="00CE4291">
        <w:t>Projekt je určen zaměstnavatelům, případně osobám samostatně výdělečně činným, kteří i přes negativní vývoj aktuální ekonomické situace mají na trhu stabilní pozici s možností přechodu k růstu. Projekt umožní získat vybraným podnikům finanční příspěvky na vzdělávací aktivity nebo rekvalifikace svých zaměstnanců. Současně budou zaměstnavateli uhrazeny mzdové náklady vzdělávaných zaměstnanců,</w:t>
      </w:r>
      <w:r w:rsidRPr="00CE4291">
        <w:br/>
        <w:t>a to po celou dobu jejich vzdělávání. Podmínkou vstupu do projektu je výše tržeb zaměstnavatele nebo osoby samostatně výdělečně činné, která v meziročním srovnání nesmí zaznamenat pokles vyšší než 5 %.</w:t>
      </w:r>
    </w:p>
    <w:p w:rsidR="00CE4291" w:rsidRPr="00CE4291" w:rsidRDefault="00CE4291" w:rsidP="00CE4291">
      <w:pPr>
        <w:spacing w:after="0" w:line="240" w:lineRule="auto"/>
        <w:ind w:firstLine="708"/>
        <w:jc w:val="both"/>
      </w:pPr>
      <w:r w:rsidRPr="00CE4291">
        <w:t>Úřad práce ČR, Krajská pobočka v Ústí nad Labem dosud přijala 36 žádostí od 15 zaměstnavatelů nebo osob samostatně výdělečně činných pro 586 zaměstnanců/osob samostatně výdělečně činných. Z uvedeného počtu bylo schváleno 25 žádostí pro 533 zaměstnanců/osob samostatně výdělečně činných.</w:t>
      </w:r>
    </w:p>
    <w:p w:rsidR="00671284" w:rsidRPr="00CE4291" w:rsidRDefault="00671284" w:rsidP="00CE4291">
      <w:pPr>
        <w:spacing w:after="0" w:line="240" w:lineRule="auto"/>
        <w:jc w:val="both"/>
      </w:pPr>
    </w:p>
    <w:p w:rsidR="00D60461" w:rsidRPr="00CE4291" w:rsidRDefault="00D60461" w:rsidP="00CE4291">
      <w:pPr>
        <w:pStyle w:val="Nadpis1"/>
        <w:jc w:val="both"/>
        <w:rPr>
          <w:b/>
          <w:caps/>
          <w:szCs w:val="22"/>
        </w:rPr>
      </w:pPr>
      <w:bookmarkStart w:id="11" w:name="_Toc393271600"/>
      <w:r w:rsidRPr="00CE4291">
        <w:rPr>
          <w:b/>
          <w:caps/>
          <w:szCs w:val="22"/>
        </w:rPr>
        <w:lastRenderedPageBreak/>
        <w:t>11. zahraniční zaměstnanost V ÚSTECKÉM KRAJI</w:t>
      </w:r>
      <w:bookmarkEnd w:id="11"/>
    </w:p>
    <w:p w:rsidR="00D60461" w:rsidRPr="00CE4291" w:rsidRDefault="00D60461" w:rsidP="00CE4291">
      <w:pPr>
        <w:spacing w:after="0" w:line="240" w:lineRule="auto"/>
        <w:rPr>
          <w:lang w:eastAsia="cs-CZ"/>
        </w:rPr>
      </w:pPr>
    </w:p>
    <w:p w:rsidR="00D60461" w:rsidRPr="00531B57" w:rsidRDefault="00D60461" w:rsidP="00D60461">
      <w:pPr>
        <w:spacing w:after="0" w:line="240" w:lineRule="auto"/>
        <w:ind w:firstLine="708"/>
        <w:rPr>
          <w:lang w:eastAsia="cs-CZ"/>
        </w:rPr>
      </w:pPr>
      <w:r w:rsidRPr="00531B57">
        <w:rPr>
          <w:lang w:eastAsia="cs-CZ"/>
        </w:rPr>
        <w:t>Tabulka č. 9 - Přehled zahraniční zaměstnanosti i nezaměstnanosti</w:t>
      </w:r>
    </w:p>
    <w:tbl>
      <w:tblPr>
        <w:tblW w:w="9436" w:type="dxa"/>
        <w:jc w:val="center"/>
        <w:tblInd w:w="-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9"/>
        <w:gridCol w:w="2057"/>
        <w:gridCol w:w="700"/>
        <w:gridCol w:w="500"/>
        <w:gridCol w:w="500"/>
        <w:gridCol w:w="500"/>
        <w:gridCol w:w="500"/>
        <w:gridCol w:w="500"/>
        <w:gridCol w:w="500"/>
        <w:gridCol w:w="500"/>
      </w:tblGrid>
      <w:tr w:rsidR="00531B57" w:rsidRPr="00531B57" w:rsidTr="000B4116">
        <w:trPr>
          <w:trHeight w:val="912"/>
          <w:jc w:val="center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60461" w:rsidRPr="00531B57" w:rsidRDefault="00D60461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Zaměstnanost zahraničních občanů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bottom"/>
            <w:hideMark/>
          </w:tcPr>
          <w:p w:rsidR="00D60461" w:rsidRPr="00531B57" w:rsidRDefault="00D60461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Ústecký </w:t>
            </w:r>
          </w:p>
          <w:p w:rsidR="00D60461" w:rsidRPr="00531B57" w:rsidRDefault="00D60461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kraj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bottom"/>
            <w:hideMark/>
          </w:tcPr>
          <w:p w:rsidR="00D60461" w:rsidRPr="00531B57" w:rsidRDefault="00D60461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bottom"/>
            <w:hideMark/>
          </w:tcPr>
          <w:p w:rsidR="00D60461" w:rsidRPr="00531B57" w:rsidRDefault="00D60461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bottom"/>
            <w:hideMark/>
          </w:tcPr>
          <w:p w:rsidR="00D60461" w:rsidRPr="00531B57" w:rsidRDefault="00D60461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bottom"/>
            <w:hideMark/>
          </w:tcPr>
          <w:p w:rsidR="00D60461" w:rsidRPr="00531B57" w:rsidRDefault="00D60461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bottom"/>
            <w:hideMark/>
          </w:tcPr>
          <w:p w:rsidR="00D60461" w:rsidRPr="00531B57" w:rsidRDefault="00D60461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bottom"/>
            <w:hideMark/>
          </w:tcPr>
          <w:p w:rsidR="00D60461" w:rsidRPr="00531B57" w:rsidRDefault="00D60461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bottom"/>
            <w:hideMark/>
          </w:tcPr>
          <w:p w:rsidR="00D60461" w:rsidRPr="00531B57" w:rsidRDefault="00D60461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Ústí n. L.</w:t>
            </w:r>
          </w:p>
        </w:tc>
      </w:tr>
      <w:tr w:rsidR="00531B57" w:rsidRPr="00531B57" w:rsidTr="00531B57">
        <w:trPr>
          <w:trHeight w:val="240"/>
          <w:jc w:val="center"/>
        </w:trPr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Povolení k zaměstnání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Vydaná a prodloužená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1B57">
              <w:rPr>
                <w:rFonts w:ascii="Calibri" w:hAnsi="Calibri" w:cs="Calibr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531B57" w:rsidRPr="00531B57" w:rsidTr="00531B57">
        <w:trPr>
          <w:trHeight w:val="240"/>
          <w:jc w:val="center"/>
        </w:trPr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1B57">
              <w:rPr>
                <w:rFonts w:ascii="Calibri" w:hAnsi="Calibri" w:cs="Calibr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531B57" w:rsidRPr="00531B57" w:rsidTr="00531B57">
        <w:trPr>
          <w:trHeight w:val="240"/>
          <w:jc w:val="center"/>
        </w:trPr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 toho pro členy družstev</w:t>
            </w:r>
          </w:p>
          <w:p w:rsidR="00531B57" w:rsidRPr="00531B57" w:rsidRDefault="00531B57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</w:t>
            </w:r>
            <w:proofErr w:type="spellStart"/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Vydaná a prodloužená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1B57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31B57" w:rsidRPr="00531B57" w:rsidTr="00531B57">
        <w:trPr>
          <w:trHeight w:val="240"/>
          <w:jc w:val="center"/>
        </w:trPr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1B57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31B57" w:rsidRPr="00531B57" w:rsidTr="00531B57">
        <w:trPr>
          <w:trHeight w:val="240"/>
          <w:jc w:val="center"/>
        </w:trPr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společníky obchodních společnost (podle § 89 </w:t>
            </w:r>
            <w:proofErr w:type="spellStart"/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Vydaná a prodloužená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1B57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31B57" w:rsidRPr="00531B57" w:rsidTr="00531B57">
        <w:trPr>
          <w:trHeight w:val="240"/>
          <w:jc w:val="center"/>
        </w:trPr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1B57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31B57" w:rsidRPr="00531B57" w:rsidTr="00531B57">
        <w:trPr>
          <w:trHeight w:val="240"/>
          <w:jc w:val="center"/>
        </w:trPr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 toho pro sezónní pracovníky</w:t>
            </w:r>
          </w:p>
          <w:p w:rsidR="00531B57" w:rsidRPr="00531B57" w:rsidRDefault="00531B57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96 </w:t>
            </w:r>
            <w:proofErr w:type="spellStart"/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Vydaná a prodloužená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1B57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31B57" w:rsidRPr="00531B57" w:rsidTr="00531B57">
        <w:trPr>
          <w:trHeight w:val="240"/>
          <w:jc w:val="center"/>
        </w:trPr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1B57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31B57" w:rsidRPr="00531B57" w:rsidTr="00531B57">
        <w:trPr>
          <w:trHeight w:val="240"/>
          <w:jc w:val="center"/>
        </w:trPr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Informační karty cizinců, kteří nepotřebují povolení k zaměstnání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Ohlášené zahájení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1B57">
              <w:rPr>
                <w:rFonts w:ascii="Calibri" w:hAnsi="Calibri" w:cs="Calibr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  <w:tr w:rsidR="00531B57" w:rsidRPr="00531B57" w:rsidTr="00531B57">
        <w:trPr>
          <w:trHeight w:val="240"/>
          <w:jc w:val="center"/>
        </w:trPr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Ohlášené ukončení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1B57">
              <w:rPr>
                <w:rFonts w:ascii="Calibri" w:hAnsi="Calibri" w:cs="Calibr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531B57" w:rsidRPr="00531B57" w:rsidTr="00531B57">
        <w:trPr>
          <w:trHeight w:val="240"/>
          <w:jc w:val="center"/>
        </w:trPr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Informační karty občanů EU/EHP  a Švýcarska a rodinných příslušníků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Ohlášené zahájení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1B57">
              <w:rPr>
                <w:rFonts w:ascii="Calibri" w:hAnsi="Calibri" w:cs="Calibri"/>
                <w:b/>
                <w:bCs/>
                <w:sz w:val="20"/>
                <w:szCs w:val="20"/>
              </w:rPr>
              <w:t>1 009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680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</w:tr>
      <w:tr w:rsidR="00531B57" w:rsidRPr="00531B57" w:rsidTr="00531B57">
        <w:trPr>
          <w:trHeight w:val="240"/>
          <w:jc w:val="center"/>
        </w:trPr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57" w:rsidRPr="00531B57" w:rsidRDefault="00531B57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Ohlášené ukončení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1B57">
              <w:rPr>
                <w:rFonts w:ascii="Calibri" w:hAnsi="Calibri" w:cs="Calibri"/>
                <w:b/>
                <w:bCs/>
                <w:sz w:val="20"/>
                <w:szCs w:val="20"/>
              </w:rPr>
              <w:t>585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369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57" w:rsidRPr="00531B57" w:rsidRDefault="00531B57" w:rsidP="00531B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</w:tr>
    </w:tbl>
    <w:p w:rsidR="00D60461" w:rsidRPr="00531B57" w:rsidRDefault="00D60461" w:rsidP="00D60461">
      <w:pPr>
        <w:spacing w:after="0" w:line="240" w:lineRule="auto"/>
        <w:jc w:val="both"/>
      </w:pPr>
    </w:p>
    <w:p w:rsidR="00D60461" w:rsidRPr="00531B57" w:rsidRDefault="00D60461" w:rsidP="00D60461">
      <w:pPr>
        <w:spacing w:after="0" w:line="240" w:lineRule="auto"/>
        <w:ind w:firstLine="708"/>
        <w:jc w:val="both"/>
        <w:rPr>
          <w:rFonts w:ascii="Calibri" w:hAnsi="Calibri" w:cs="Arial"/>
        </w:rPr>
      </w:pPr>
      <w:r w:rsidRPr="00531B57">
        <w:rPr>
          <w:rFonts w:ascii="Calibri" w:hAnsi="Calibri" w:cs="Arial"/>
        </w:rPr>
        <w:t xml:space="preserve">V průběhu </w:t>
      </w:r>
      <w:r w:rsidR="00531B57" w:rsidRPr="00531B57">
        <w:rPr>
          <w:rFonts w:ascii="Calibri" w:hAnsi="Calibri" w:cs="Arial"/>
        </w:rPr>
        <w:t>června</w:t>
      </w:r>
      <w:r w:rsidRPr="00531B57">
        <w:rPr>
          <w:rFonts w:ascii="Calibri" w:hAnsi="Calibri" w:cs="Arial"/>
        </w:rPr>
        <w:t xml:space="preserve"> bylo v Ústeckém kraji vydá</w:t>
      </w:r>
      <w:r w:rsidR="009A503C" w:rsidRPr="00531B57">
        <w:rPr>
          <w:rFonts w:ascii="Calibri" w:hAnsi="Calibri" w:cs="Arial"/>
        </w:rPr>
        <w:t>n</w:t>
      </w:r>
      <w:r w:rsidR="00531B57" w:rsidRPr="00531B57">
        <w:rPr>
          <w:rFonts w:ascii="Calibri" w:hAnsi="Calibri" w:cs="Arial"/>
        </w:rPr>
        <w:t>o či prodlouženo 6</w:t>
      </w:r>
      <w:r w:rsidR="009A503C" w:rsidRPr="00531B57">
        <w:rPr>
          <w:rFonts w:ascii="Calibri" w:hAnsi="Calibri" w:cs="Arial"/>
        </w:rPr>
        <w:t>6</w:t>
      </w:r>
      <w:r w:rsidR="00531B57" w:rsidRPr="00531B57">
        <w:rPr>
          <w:rFonts w:ascii="Calibri" w:hAnsi="Calibri" w:cs="Arial"/>
        </w:rPr>
        <w:t xml:space="preserve"> povolení k zaměstnání,</w:t>
      </w:r>
      <w:r w:rsidR="00531B57" w:rsidRPr="00531B57">
        <w:rPr>
          <w:rFonts w:ascii="Calibri" w:hAnsi="Calibri" w:cs="Arial"/>
        </w:rPr>
        <w:br/>
        <w:t>přičemž nejvíce (30</w:t>
      </w:r>
      <w:r w:rsidRPr="00531B57">
        <w:rPr>
          <w:rFonts w:ascii="Calibri" w:hAnsi="Calibri" w:cs="Arial"/>
        </w:rPr>
        <w:t xml:space="preserve">) připadalo na okres </w:t>
      </w:r>
      <w:r w:rsidR="00531B57" w:rsidRPr="00531B57">
        <w:rPr>
          <w:rFonts w:ascii="Calibri" w:hAnsi="Calibri" w:cs="Arial"/>
        </w:rPr>
        <w:t>Chomutov</w:t>
      </w:r>
      <w:r w:rsidRPr="00531B57">
        <w:rPr>
          <w:rFonts w:ascii="Calibri" w:hAnsi="Calibri" w:cs="Arial"/>
        </w:rPr>
        <w:t>. Ve ste</w:t>
      </w:r>
      <w:r w:rsidR="00531B57" w:rsidRPr="00531B57">
        <w:rPr>
          <w:rFonts w:ascii="Calibri" w:hAnsi="Calibri" w:cs="Arial"/>
        </w:rPr>
        <w:t>jném období skončila platnost 52</w:t>
      </w:r>
      <w:r w:rsidRPr="00531B57">
        <w:rPr>
          <w:rFonts w:ascii="Calibri" w:hAnsi="Calibri" w:cs="Arial"/>
        </w:rPr>
        <w:t xml:space="preserve"> povolením, nejvíce z nich (</w:t>
      </w:r>
      <w:r w:rsidR="00531B57" w:rsidRPr="00531B57">
        <w:rPr>
          <w:rFonts w:ascii="Calibri" w:hAnsi="Calibri" w:cs="Arial"/>
        </w:rPr>
        <w:t>39</w:t>
      </w:r>
      <w:r w:rsidRPr="00531B57">
        <w:rPr>
          <w:rFonts w:ascii="Calibri" w:hAnsi="Calibri" w:cs="Arial"/>
        </w:rPr>
        <w:t>) bylo</w:t>
      </w:r>
      <w:r w:rsidR="009A503C" w:rsidRPr="00531B57">
        <w:rPr>
          <w:rFonts w:ascii="Calibri" w:hAnsi="Calibri" w:cs="Arial"/>
        </w:rPr>
        <w:t xml:space="preserve"> také v okrese </w:t>
      </w:r>
      <w:r w:rsidR="00531B57" w:rsidRPr="00531B57">
        <w:rPr>
          <w:rFonts w:ascii="Calibri" w:hAnsi="Calibri" w:cs="Arial"/>
        </w:rPr>
        <w:t>Chomutov</w:t>
      </w:r>
      <w:r w:rsidRPr="00531B57">
        <w:rPr>
          <w:rFonts w:ascii="Calibri" w:hAnsi="Calibri" w:cs="Arial"/>
        </w:rPr>
        <w:t xml:space="preserve">. Ve sledovaném měsíci podali žadatelé na </w:t>
      </w:r>
      <w:r w:rsidR="00531B57" w:rsidRPr="00531B57">
        <w:rPr>
          <w:rFonts w:ascii="Calibri" w:hAnsi="Calibri" w:cs="Arial"/>
        </w:rPr>
        <w:t>úřady práce</w:t>
      </w:r>
      <w:r w:rsidRPr="00531B57">
        <w:rPr>
          <w:rFonts w:ascii="Calibri" w:hAnsi="Calibri" w:cs="Arial"/>
        </w:rPr>
        <w:t xml:space="preserve"> v kraji 1 </w:t>
      </w:r>
      <w:r w:rsidR="00531B57" w:rsidRPr="00531B57">
        <w:rPr>
          <w:rFonts w:ascii="Calibri" w:hAnsi="Calibri" w:cs="Arial"/>
        </w:rPr>
        <w:t>087</w:t>
      </w:r>
      <w:r w:rsidRPr="00531B57">
        <w:rPr>
          <w:rFonts w:ascii="Calibri" w:hAnsi="Calibri" w:cs="Arial"/>
        </w:rPr>
        <w:t xml:space="preserve"> informačn</w:t>
      </w:r>
      <w:r w:rsidR="009A503C" w:rsidRPr="00531B57">
        <w:rPr>
          <w:rFonts w:ascii="Calibri" w:hAnsi="Calibri" w:cs="Arial"/>
        </w:rPr>
        <w:t>ích karet</w:t>
      </w:r>
      <w:r w:rsidR="00531B57" w:rsidRPr="00531B57">
        <w:rPr>
          <w:rFonts w:ascii="Calibri" w:hAnsi="Calibri" w:cs="Arial"/>
        </w:rPr>
        <w:t xml:space="preserve"> </w:t>
      </w:r>
      <w:r w:rsidRPr="00531B57">
        <w:rPr>
          <w:rFonts w:ascii="Calibri" w:hAnsi="Calibri" w:cs="Arial"/>
        </w:rPr>
        <w:t xml:space="preserve">o zahájení zaměstnání, z čehož bylo </w:t>
      </w:r>
      <w:r w:rsidR="00531B57" w:rsidRPr="00531B57">
        <w:rPr>
          <w:rFonts w:ascii="Calibri" w:hAnsi="Calibri" w:cs="Arial"/>
        </w:rPr>
        <w:t>1 009</w:t>
      </w:r>
      <w:r w:rsidRPr="00531B57">
        <w:rPr>
          <w:rFonts w:ascii="Calibri" w:hAnsi="Calibri" w:cs="Arial"/>
        </w:rPr>
        <w:t xml:space="preserve"> z EU/EHP i</w:t>
      </w:r>
      <w:r w:rsidR="00531B57" w:rsidRPr="00531B57">
        <w:rPr>
          <w:rFonts w:ascii="Calibri" w:hAnsi="Calibri" w:cs="Arial"/>
        </w:rPr>
        <w:t xml:space="preserve"> Švýcarska</w:t>
      </w:r>
      <w:r w:rsidR="00531B57" w:rsidRPr="00531B57">
        <w:rPr>
          <w:rFonts w:ascii="Calibri" w:hAnsi="Calibri" w:cs="Arial"/>
        </w:rPr>
        <w:br/>
        <w:t>a 78</w:t>
      </w:r>
      <w:r w:rsidRPr="00531B57">
        <w:rPr>
          <w:rFonts w:ascii="Calibri" w:hAnsi="Calibri" w:cs="Arial"/>
        </w:rPr>
        <w:t xml:space="preserve"> ze „třetích zemí“. Za stejnou dobu ukončilo výkon zaměstnání </w:t>
      </w:r>
      <w:r w:rsidR="00531B57" w:rsidRPr="00531B57">
        <w:rPr>
          <w:rFonts w:ascii="Calibri" w:hAnsi="Calibri" w:cs="Arial"/>
        </w:rPr>
        <w:t>621 zahraničních zaměstnanců,</w:t>
      </w:r>
      <w:r w:rsidR="00531B57" w:rsidRPr="00531B57">
        <w:rPr>
          <w:rFonts w:ascii="Calibri" w:hAnsi="Calibri" w:cs="Arial"/>
        </w:rPr>
        <w:br/>
      </w:r>
      <w:r w:rsidRPr="00531B57">
        <w:rPr>
          <w:rFonts w:ascii="Calibri" w:hAnsi="Calibri" w:cs="Arial"/>
        </w:rPr>
        <w:t xml:space="preserve">přičemž </w:t>
      </w:r>
      <w:r w:rsidR="00531B57" w:rsidRPr="00531B57">
        <w:rPr>
          <w:rFonts w:ascii="Calibri" w:hAnsi="Calibri" w:cs="Arial"/>
        </w:rPr>
        <w:t>585</w:t>
      </w:r>
      <w:r w:rsidRPr="00531B57">
        <w:rPr>
          <w:rFonts w:ascii="Calibri" w:hAnsi="Calibri" w:cs="Arial"/>
        </w:rPr>
        <w:t xml:space="preserve"> bylo z EU/E</w:t>
      </w:r>
      <w:r w:rsidR="00531B57" w:rsidRPr="00531B57">
        <w:rPr>
          <w:rFonts w:ascii="Calibri" w:hAnsi="Calibri" w:cs="Arial"/>
        </w:rPr>
        <w:t>HP či Švýcarska a 36</w:t>
      </w:r>
      <w:r w:rsidRPr="00531B57">
        <w:rPr>
          <w:rFonts w:ascii="Calibri" w:hAnsi="Calibri" w:cs="Arial"/>
        </w:rPr>
        <w:t xml:space="preserve"> ze „třetích zemí“.</w:t>
      </w:r>
    </w:p>
    <w:p w:rsidR="005E7837" w:rsidRPr="00531B57" w:rsidRDefault="005E7837" w:rsidP="00072C10">
      <w:pPr>
        <w:spacing w:after="0" w:line="240" w:lineRule="auto"/>
        <w:jc w:val="both"/>
        <w:rPr>
          <w:rFonts w:ascii="Calibri" w:hAnsi="Calibri" w:cs="Arial"/>
        </w:rPr>
      </w:pPr>
    </w:p>
    <w:p w:rsidR="00531B57" w:rsidRPr="00531B57" w:rsidRDefault="00531B57" w:rsidP="00072C10">
      <w:pPr>
        <w:spacing w:after="0" w:line="240" w:lineRule="auto"/>
        <w:jc w:val="both"/>
        <w:rPr>
          <w:rFonts w:ascii="Calibri" w:hAnsi="Calibri" w:cs="Arial"/>
        </w:rPr>
      </w:pPr>
    </w:p>
    <w:p w:rsidR="00531B57" w:rsidRPr="00531B57" w:rsidRDefault="00531B57" w:rsidP="00072C10">
      <w:pPr>
        <w:spacing w:after="0" w:line="240" w:lineRule="auto"/>
        <w:jc w:val="both"/>
        <w:rPr>
          <w:rFonts w:ascii="Calibri" w:hAnsi="Calibri" w:cs="Arial"/>
        </w:rPr>
      </w:pPr>
    </w:p>
    <w:p w:rsidR="00531B57" w:rsidRPr="00531B57" w:rsidRDefault="00531B57" w:rsidP="00072C10">
      <w:pPr>
        <w:spacing w:after="0" w:line="240" w:lineRule="auto"/>
        <w:jc w:val="both"/>
        <w:rPr>
          <w:rFonts w:ascii="Calibri" w:hAnsi="Calibri" w:cs="Arial"/>
        </w:rPr>
      </w:pPr>
    </w:p>
    <w:p w:rsidR="00531B57" w:rsidRPr="00531B57" w:rsidRDefault="00531B57" w:rsidP="00072C10">
      <w:pPr>
        <w:spacing w:after="0" w:line="240" w:lineRule="auto"/>
        <w:jc w:val="both"/>
        <w:rPr>
          <w:rFonts w:ascii="Calibri" w:hAnsi="Calibri" w:cs="Arial"/>
        </w:rPr>
      </w:pPr>
    </w:p>
    <w:p w:rsidR="00531B57" w:rsidRPr="00531B57" w:rsidRDefault="00531B57" w:rsidP="00072C10">
      <w:pPr>
        <w:spacing w:after="0" w:line="240" w:lineRule="auto"/>
        <w:jc w:val="both"/>
        <w:rPr>
          <w:rFonts w:ascii="Calibri" w:hAnsi="Calibri" w:cs="Arial"/>
        </w:rPr>
      </w:pPr>
    </w:p>
    <w:p w:rsidR="00531B57" w:rsidRDefault="00531B57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Pr="00531B57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531B57" w:rsidRPr="00531B57" w:rsidRDefault="00531B57" w:rsidP="00072C10">
      <w:pPr>
        <w:spacing w:after="0" w:line="240" w:lineRule="auto"/>
        <w:jc w:val="both"/>
        <w:rPr>
          <w:rFonts w:ascii="Calibri" w:hAnsi="Calibri" w:cs="Arial"/>
        </w:rPr>
      </w:pPr>
    </w:p>
    <w:p w:rsidR="00531B57" w:rsidRPr="00531B57" w:rsidRDefault="00531B57" w:rsidP="00072C10">
      <w:pPr>
        <w:spacing w:after="0" w:line="240" w:lineRule="auto"/>
        <w:jc w:val="both"/>
      </w:pPr>
    </w:p>
    <w:p w:rsidR="005E7837" w:rsidRPr="00531B57" w:rsidRDefault="005E7837" w:rsidP="00072C10">
      <w:pPr>
        <w:spacing w:after="0" w:line="240" w:lineRule="auto"/>
        <w:jc w:val="both"/>
      </w:pPr>
    </w:p>
    <w:p w:rsidR="00ED2397" w:rsidRPr="00531B57" w:rsidRDefault="00ED2397" w:rsidP="00072C10">
      <w:pPr>
        <w:spacing w:after="0" w:line="240" w:lineRule="auto"/>
        <w:jc w:val="both"/>
      </w:pPr>
    </w:p>
    <w:p w:rsidR="004E7898" w:rsidRPr="00531B57" w:rsidRDefault="004E7898" w:rsidP="00072C10">
      <w:pPr>
        <w:spacing w:after="0" w:line="240" w:lineRule="auto"/>
        <w:jc w:val="both"/>
      </w:pPr>
    </w:p>
    <w:p w:rsidR="00D46917" w:rsidRPr="00531B57" w:rsidRDefault="00D46917" w:rsidP="00072C10">
      <w:pPr>
        <w:spacing w:after="0" w:line="240" w:lineRule="auto"/>
        <w:rPr>
          <w:lang w:eastAsia="cs-CZ"/>
        </w:rPr>
      </w:pPr>
    </w:p>
    <w:p w:rsidR="00336979" w:rsidRPr="00531B57" w:rsidRDefault="00DF3B3D" w:rsidP="00072C10">
      <w:pPr>
        <w:pStyle w:val="Nadpis1"/>
        <w:jc w:val="both"/>
        <w:rPr>
          <w:b/>
          <w:caps/>
          <w:szCs w:val="22"/>
        </w:rPr>
      </w:pPr>
      <w:bookmarkStart w:id="12" w:name="_Toc393271601"/>
      <w:r w:rsidRPr="00531B57">
        <w:rPr>
          <w:b/>
          <w:caps/>
          <w:szCs w:val="22"/>
        </w:rPr>
        <w:lastRenderedPageBreak/>
        <w:t>1</w:t>
      </w:r>
      <w:r w:rsidR="00D60461" w:rsidRPr="00531B57">
        <w:rPr>
          <w:b/>
          <w:caps/>
          <w:szCs w:val="22"/>
        </w:rPr>
        <w:t>2</w:t>
      </w:r>
      <w:r w:rsidRPr="00531B57">
        <w:rPr>
          <w:b/>
          <w:caps/>
          <w:szCs w:val="22"/>
        </w:rPr>
        <w:t xml:space="preserve">. přílohy - podíl nezaměstnaných </w:t>
      </w:r>
      <w:r w:rsidR="00B73FF0" w:rsidRPr="00531B57">
        <w:rPr>
          <w:b/>
          <w:caps/>
          <w:szCs w:val="22"/>
        </w:rPr>
        <w:t>v</w:t>
      </w:r>
      <w:r w:rsidR="002C475D" w:rsidRPr="00531B57">
        <w:rPr>
          <w:b/>
          <w:caps/>
          <w:szCs w:val="22"/>
        </w:rPr>
        <w:t> obcích Ústeckého kraje k</w:t>
      </w:r>
      <w:r w:rsidR="000F0901" w:rsidRPr="00531B57">
        <w:rPr>
          <w:b/>
          <w:caps/>
          <w:szCs w:val="22"/>
        </w:rPr>
        <w:t> 30. 6</w:t>
      </w:r>
      <w:r w:rsidRPr="00531B57">
        <w:rPr>
          <w:b/>
          <w:caps/>
          <w:szCs w:val="22"/>
        </w:rPr>
        <w:t>. 201</w:t>
      </w:r>
      <w:r w:rsidR="002C475D" w:rsidRPr="00531B57">
        <w:rPr>
          <w:b/>
          <w:caps/>
          <w:szCs w:val="22"/>
        </w:rPr>
        <w:t>4</w:t>
      </w:r>
      <w:bookmarkEnd w:id="12"/>
    </w:p>
    <w:p w:rsidR="00713432" w:rsidRPr="00531B57" w:rsidRDefault="00713432" w:rsidP="00072C10">
      <w:pPr>
        <w:spacing w:after="0" w:line="240" w:lineRule="auto"/>
        <w:rPr>
          <w:lang w:eastAsia="cs-CZ"/>
        </w:rPr>
      </w:pPr>
    </w:p>
    <w:p w:rsidR="00270A5C" w:rsidRPr="00531B57" w:rsidRDefault="00992D51" w:rsidP="00072C10">
      <w:pPr>
        <w:spacing w:after="0" w:line="240" w:lineRule="auto"/>
        <w:ind w:left="708" w:firstLine="708"/>
        <w:rPr>
          <w:lang w:eastAsia="cs-CZ"/>
        </w:rPr>
      </w:pPr>
      <w:r w:rsidRPr="00531B57">
        <w:rPr>
          <w:lang w:eastAsia="cs-CZ"/>
        </w:rPr>
        <w:t>Tabulka č. 1</w:t>
      </w:r>
      <w:r w:rsidR="002C475D" w:rsidRPr="00531B57">
        <w:rPr>
          <w:lang w:eastAsia="cs-CZ"/>
        </w:rPr>
        <w:t>0</w:t>
      </w:r>
      <w:r w:rsidR="00270A5C" w:rsidRPr="00531B57">
        <w:rPr>
          <w:lang w:eastAsia="cs-CZ"/>
        </w:rPr>
        <w:t xml:space="preserve"> - Podíl nezaměstnaných dle obcí</w:t>
      </w: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531B57" w:rsidRPr="00531B57" w:rsidTr="00577423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531B57" w:rsidRDefault="0071343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531B57" w:rsidRDefault="0071343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531B57" w:rsidRDefault="0071343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531B57" w:rsidRDefault="0071343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531B57" w:rsidRDefault="0071343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Bílence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13,97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5,12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9,86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Černovice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5,84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Droužkovice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6,34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Hora Svatého Šebestiána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10,14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Hrušovany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10,44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3 988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33 577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11,67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Kalek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7,65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Křimov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11,70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Málkov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6,83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Místo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8,72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Nezabylice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Spořice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1 027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7,21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5,42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Všehrdy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6,48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Výsluní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5,32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531B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531B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1B57">
              <w:rPr>
                <w:rFonts w:ascii="Calibri" w:hAnsi="Calibri" w:cs="Calibri"/>
                <w:b/>
                <w:bCs/>
                <w:sz w:val="20"/>
                <w:szCs w:val="20"/>
              </w:rPr>
              <w:t>4 505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1B57">
              <w:rPr>
                <w:rFonts w:ascii="Calibri" w:hAnsi="Calibri" w:cs="Calibri"/>
                <w:b/>
                <w:bCs/>
                <w:sz w:val="20"/>
                <w:szCs w:val="20"/>
              </w:rPr>
              <w:t>40 205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1B57">
              <w:rPr>
                <w:rFonts w:ascii="Calibri" w:hAnsi="Calibri" w:cs="Calibri"/>
                <w:b/>
                <w:bCs/>
                <w:sz w:val="20"/>
                <w:szCs w:val="20"/>
              </w:rPr>
              <w:t>11,00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Boleboř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7,06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2 105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14 380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14,34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Otvice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7,01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Pesvice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4,26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Strupčice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589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6,45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Vrskmaň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10,05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Všestudy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7,19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Vysoká Pec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714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7,84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531B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531B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1B57">
              <w:rPr>
                <w:rFonts w:ascii="Calibri" w:hAnsi="Calibri" w:cs="Calibri"/>
                <w:b/>
                <w:bCs/>
                <w:sz w:val="20"/>
                <w:szCs w:val="20"/>
              </w:rPr>
              <w:t>2 283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1B57">
              <w:rPr>
                <w:rFonts w:ascii="Calibri" w:hAnsi="Calibri" w:cs="Calibri"/>
                <w:b/>
                <w:bCs/>
                <w:sz w:val="20"/>
                <w:szCs w:val="20"/>
              </w:rPr>
              <w:t>16 737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1B57">
              <w:rPr>
                <w:rFonts w:ascii="Calibri" w:hAnsi="Calibri" w:cs="Calibri"/>
                <w:b/>
                <w:bCs/>
                <w:sz w:val="20"/>
                <w:szCs w:val="20"/>
              </w:rPr>
              <w:t>13,35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Chbany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15,19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1 301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12 200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10,08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Kovářská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7,88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Kryštofovy Hamry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9,72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Libědice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13,29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Loučná pod Klínovcem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9,23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Mašťov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8,79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Měděnec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5,43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Pětipsy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12,41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Račetice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6,85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Radonice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795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12,08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Rokle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16,41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Vejprty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2 108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10,82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Veliká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10,70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7,11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531B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531B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1B57">
              <w:rPr>
                <w:rFonts w:ascii="Calibri" w:hAnsi="Calibri" w:cs="Calibri"/>
                <w:b/>
                <w:bCs/>
                <w:sz w:val="20"/>
                <w:szCs w:val="20"/>
              </w:rPr>
              <w:t>1 967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1B57">
              <w:rPr>
                <w:rFonts w:ascii="Calibri" w:hAnsi="Calibri" w:cs="Calibri"/>
                <w:b/>
                <w:bCs/>
                <w:sz w:val="20"/>
                <w:szCs w:val="20"/>
              </w:rPr>
              <w:t>18 405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1B57">
              <w:rPr>
                <w:rFonts w:ascii="Calibri" w:hAnsi="Calibri" w:cs="Calibri"/>
                <w:b/>
                <w:bCs/>
                <w:sz w:val="20"/>
                <w:szCs w:val="20"/>
              </w:rPr>
              <w:t>10,23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Domašín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8,66</w:t>
            </w:r>
          </w:p>
        </w:tc>
      </w:tr>
      <w:tr w:rsidR="00531B57" w:rsidRPr="00531B57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31B5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1 076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10 556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531B57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1B57">
              <w:rPr>
                <w:rFonts w:ascii="Calibri" w:hAnsi="Calibri" w:cs="Calibri"/>
                <w:sz w:val="20"/>
                <w:szCs w:val="20"/>
              </w:rPr>
              <w:t>10,16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Okounov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8,85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Perštejn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7,23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72C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1 163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11 684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9,92</w:t>
            </w:r>
          </w:p>
        </w:tc>
      </w:tr>
    </w:tbl>
    <w:p w:rsidR="00713432" w:rsidRPr="000F0901" w:rsidRDefault="00713432" w:rsidP="00072C10">
      <w:pPr>
        <w:spacing w:after="0" w:line="240" w:lineRule="auto"/>
        <w:rPr>
          <w:lang w:eastAsia="cs-CZ"/>
        </w:rPr>
      </w:pPr>
    </w:p>
    <w:p w:rsidR="00713432" w:rsidRPr="000F0901" w:rsidRDefault="00713432" w:rsidP="00072C10">
      <w:pPr>
        <w:spacing w:after="0" w:line="240" w:lineRule="auto"/>
        <w:rPr>
          <w:lang w:eastAsia="cs-CZ"/>
        </w:rPr>
      </w:pPr>
    </w:p>
    <w:p w:rsidR="002C475D" w:rsidRPr="000F0901" w:rsidRDefault="002C475D" w:rsidP="00072C10">
      <w:pPr>
        <w:spacing w:after="0" w:line="240" w:lineRule="auto"/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0F0901" w:rsidRPr="000F0901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Blšany u Loun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5,03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Brodec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1,85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Břvany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8,73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Cítoliby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9,09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Černčice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7,12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Dobroměřice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8,09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Domoušice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10,96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Hříškov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8,27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Hřivice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6,79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Chlumčany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7,57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Chožov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13,76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Chraberce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7,61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Jimlín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8,59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Koštice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8,02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11,46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Lenešice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9,81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Libčeves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10,13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7,89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12 609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9,96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5,26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Obora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4,73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Opočno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10,47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Panenský Týnec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5,45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Peruc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8,72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Pnětluky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8,33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Počedělice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7,69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Postoloprty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3 363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14,54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Raná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5,49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Ročov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7,30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Slavětín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9,28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Smolnice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6,18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Toužetín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14,78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Úherce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3,92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Veltěže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11,96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Vinařice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9,43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Vrbno nad Lesy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6,92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7,51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Výškov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11,40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Zbrašín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8,80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Želkovice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4,48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Žerotín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543012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11,45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3 100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29 661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9,86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7,34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Blšany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12,29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Krásný Dvůr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8,45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Kryry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8,33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Lubenec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10,49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Nepomyšl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11,95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Očihov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8,81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Petrohrad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12,18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Podbořanský Rohozec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11,11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4 314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9,16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Vroutek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9,88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1 094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10 743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9,53</w:t>
            </w:r>
          </w:p>
        </w:tc>
      </w:tr>
    </w:tbl>
    <w:p w:rsidR="00713432" w:rsidRPr="000F0901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0F0901" w:rsidRPr="000F0901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Bílina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11 621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9,93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Bořislav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3,26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Bystřany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6,85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Bžany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5,71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Dubí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5 480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10,31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Duchcov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5 695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10,99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Háj u Duchcova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5,04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Hostomice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10,25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Hrob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5,94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Hrobčice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7,14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Jeníkov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8,12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Kladruby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4,74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Kostomlaty pod Milešovkou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4,60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2 108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9,16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Krupka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9 232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9,71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Lahošť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7,91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Ledvice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10,82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Lukov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4,90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Měrunice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6,30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Mikulov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3,33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Modlany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6,55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Moldava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15,67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Novosedlice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1 536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10,42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Ohníč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8,02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Osek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3 280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6,37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Proboštov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8,19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Rtyně nad Bílinou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6,37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8,51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Světec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4,04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3 477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33 242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10,09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Újezdeček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12,04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Zabrušany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8,75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Žalany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4,34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5,98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8 592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87 526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9,43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Bitozeves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13,01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Blažim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10,53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Čeradice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16,16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Deštnice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9,84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Holedeč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8,75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9,52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Libočany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4,50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9,92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9,14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19,05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Měcholupy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15,85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Nové Sedlo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13,53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543128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10,90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Tuchořice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7,92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Velemyšleves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16,59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Zálužice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11,54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1 427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12 978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10,53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Žiželice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13,03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2 087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18 542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10,76</w:t>
            </w:r>
          </w:p>
        </w:tc>
      </w:tr>
    </w:tbl>
    <w:p w:rsidR="00404D90" w:rsidRPr="000F0901" w:rsidRDefault="00404D90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0F0901" w:rsidRPr="000F0901" w:rsidTr="00404D90">
        <w:trPr>
          <w:trHeight w:val="24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04D90" w:rsidRPr="000F0901" w:rsidRDefault="00404D90" w:rsidP="004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0F0901" w:rsidRDefault="00404D90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0F0901" w:rsidRDefault="00404D90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0F0901" w:rsidRDefault="00404D90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Obyvatelstvo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0F0901" w:rsidRDefault="00404D90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Budyně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10,96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Černiv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9,84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Evaň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11,86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Chotěšov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8,15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Klapý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4,88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Křesín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12,78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2 292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10,86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Lkáň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11,28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Martiněves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9,06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Mšené-lázně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10,35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Přestavlky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12,29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Radovesice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9,70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Sedlec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8,97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Slatina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11,83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Žabovřesky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8,33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7 665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10,31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Bohušovice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7,35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Brňany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6,83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Brozany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8,77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Býčkovice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11,43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Dolánky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553646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8,09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Hlinná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6,36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Horní Řepčice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10,94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Chudoslavice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3,67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Kamýk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4,12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Křešice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9,13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Libochovany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8,04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16 284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7,67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Malíč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11,11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Michalovice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6,73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6,62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Mlékojedy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10,90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9,66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Ploskovice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6,31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Polepy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9,87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9,52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Terezín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1 974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8,87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Travčice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6,84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Trnovany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8,12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Třebušín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11,11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Velké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9,82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Vrutice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10,66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Žalhostice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8,57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Žitenice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7,38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2 295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28 289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7,99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Drahobuz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11,43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Hoštka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10,97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3,36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Levín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8,14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9,54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Lovečkovice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11,33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Račice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7,48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Rochov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8,96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Snědovice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7,02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6 094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12,60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Úštěk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12,18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1 402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11 898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11,52</w:t>
            </w:r>
          </w:p>
        </w:tc>
      </w:tr>
      <w:tr w:rsidR="000F0901" w:rsidRPr="000F0901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Čížkovice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8,83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12,39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Dlažkovice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11,76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Chodovlice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3,85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Chotiměř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7,88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Jenčice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505528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8,12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Keblice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10,04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Lhotka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3,44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5 683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10,42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Lukavec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10,36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Malé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8,63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Podsedice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6,70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Prackovice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9,00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6,81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Sulejovice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5,72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Třebenice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6,68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Třebívlice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9,09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Úpohlavy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8,77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Velemín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8,39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Vchynice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7,80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Vlastislav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9,91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Vrbičany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10,45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1 280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14 071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8,98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Bechlín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7,81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Brzánky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16,98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Bříza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6,47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10,00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Černěves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6,62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Černouček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6,47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Dobříň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6,99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Doksany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6,40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Dušníky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7,07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Horní Beřkovice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6,38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Hrobce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9,50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Chodouny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13,13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Kleneč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8,45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Kostomlaty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14,95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Krabčice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6,94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Kyškovice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4,97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Libkovice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9,52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Libotenice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10,86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Mnetěš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5,94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Nové Dvory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7,17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Oleško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12,07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Račiněves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7,73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8 543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8,42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proofErr w:type="spellStart"/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Straškov</w:t>
            </w:r>
            <w:proofErr w:type="spellEnd"/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-Vodochody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10,60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Vědomice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6,41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Vražkov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7,28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10,26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Záluží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13,04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Židovice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10,57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1 547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18 131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8,47</w:t>
            </w:r>
          </w:p>
        </w:tc>
      </w:tr>
    </w:tbl>
    <w:p w:rsidR="00713432" w:rsidRPr="000F0901" w:rsidRDefault="00713432" w:rsidP="00713432">
      <w:pPr>
        <w:rPr>
          <w:lang w:eastAsia="cs-CZ"/>
        </w:rPr>
      </w:pPr>
    </w:p>
    <w:p w:rsidR="00713432" w:rsidRPr="000F0901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0F0901" w:rsidRPr="000F0901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Brandov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5,14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Český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9,62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Hora Svaté Kateřiny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10,24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Horní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12,22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Klíny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3,95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2 486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16 705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14,79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2 642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14,16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Louka u Litvínova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13,77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Mariánské Radčice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13,61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Meziboří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3 170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12,40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Nová Ves v Horách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7,65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3 623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25 752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14,00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16,16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Bělušice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12,20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Braňany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9,95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Havraň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7,69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Korozluky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6,62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Lišnice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10,06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6,39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5,85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5 953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46 583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12,73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17,44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Patokryje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10,19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Polerady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5,52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Skršín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7,23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Volevčice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9,09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Želenice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9,04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6 707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52 805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12,66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Dolní Zálezly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8,70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Habrovany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6,37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Homole u Panny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8,97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Chabařovice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12,70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Chlumec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3 129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7,09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Chuderov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8,69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Libouchec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9,88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8,33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Malečov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7,90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Petrovice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6,77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Povrly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9,54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Přestanov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6,81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Ryjice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11,02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Řehlovice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7,94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Stebno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8,75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Tašov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6,67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6,81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Tisá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7,49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Trmice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553697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2 131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20,04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554804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52722D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8 355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62 407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13,20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Velké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8,42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Velké Chvojno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555223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8,76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Zubrnice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8,64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52722D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10 180</w:t>
            </w:r>
            <w:bookmarkStart w:id="13" w:name="_GoBack"/>
            <w:bookmarkEnd w:id="13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80 307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12,49</w:t>
            </w:r>
          </w:p>
        </w:tc>
      </w:tr>
    </w:tbl>
    <w:p w:rsidR="00713432" w:rsidRPr="000F0901" w:rsidRDefault="00713432" w:rsidP="00713432">
      <w:pPr>
        <w:rPr>
          <w:lang w:eastAsia="cs-CZ"/>
        </w:rPr>
      </w:pPr>
    </w:p>
    <w:p w:rsidR="00713432" w:rsidRPr="000F0901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0F0901" w:rsidRPr="000F0901" w:rsidTr="00404D90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F0901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Arnoltice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12,41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Benešov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2 552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10,70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Bynovec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544647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6,63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3 603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11,21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3 692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32 875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10,86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Dobkovice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9,61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Dobrná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5,68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Dolní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8,74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proofErr w:type="spellStart"/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Františkov</w:t>
            </w:r>
            <w:proofErr w:type="spellEnd"/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8,71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Heřmanov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11,08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Horní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9,42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Hřensko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4,59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Huntířov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8,42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544680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7,96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10,27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Jetřichovice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6,59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Jílové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3 585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8,62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Kámen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8,28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Kunratice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12,73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Kytlice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4,55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Labská Stráň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544701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9,38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Ludvíkovice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6,08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Malá Veleň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7,92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Malšovice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6,20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7,45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Merboltice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14,63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8,84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Srbská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5,84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Starý </w:t>
            </w:r>
            <w:proofErr w:type="spellStart"/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Šachov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6,80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Těchlovice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555193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8,02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Valkeřice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10,36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Velká Bukovina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5,36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Verneřice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9,72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Veselé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6,39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5 498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52 070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10,22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Dolní Poustevna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9,68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Doubice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4,41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Jiříkov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2 592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11,30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Krásná Lípa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2 254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10,34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Lipová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4,35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Lobendava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9,96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Mikulášovice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10,05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7 672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8,54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Staré Křečany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11,25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Šluknov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3 799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12,82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Velký Šenov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9,75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5,73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2 312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22 655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9,94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Dolní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7,61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Horní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6,63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Chřibská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9,47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Jiřetín pod Jedlovou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10,16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</w:tcPr>
          <w:p w:rsidR="000F0901" w:rsidRPr="000F0901" w:rsidRDefault="000F0901" w:rsidP="00687D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Rybniště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901" w:rsidRPr="000F0901" w:rsidRDefault="000F0901" w:rsidP="00687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10,87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1 105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10 604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0901">
              <w:rPr>
                <w:rFonts w:ascii="Calibri" w:hAnsi="Calibri" w:cs="Calibri"/>
                <w:sz w:val="20"/>
                <w:szCs w:val="20"/>
              </w:rPr>
              <w:t>9,95</w:t>
            </w:r>
          </w:p>
        </w:tc>
      </w:tr>
      <w:tr w:rsidR="000F0901" w:rsidRPr="000F0901" w:rsidTr="000F0901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F0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1 400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13 840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F0901" w:rsidRPr="000F0901" w:rsidRDefault="000F0901" w:rsidP="000F0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901">
              <w:rPr>
                <w:rFonts w:ascii="Calibri" w:hAnsi="Calibri" w:cs="Calibri"/>
                <w:b/>
                <w:bCs/>
                <w:sz w:val="20"/>
                <w:szCs w:val="20"/>
              </w:rPr>
              <w:t>9,68</w:t>
            </w:r>
          </w:p>
        </w:tc>
      </w:tr>
    </w:tbl>
    <w:p w:rsidR="00713432" w:rsidRPr="004913D8" w:rsidRDefault="00713432" w:rsidP="00713432">
      <w:pPr>
        <w:rPr>
          <w:color w:val="FF0000"/>
          <w:lang w:eastAsia="cs-CZ"/>
        </w:rPr>
      </w:pPr>
    </w:p>
    <w:sectPr w:rsidR="00713432" w:rsidRPr="004913D8" w:rsidSect="00DC4C5A">
      <w:footerReference w:type="default" r:id="rId22"/>
      <w:footerReference w:type="first" r:id="rId23"/>
      <w:pgSz w:w="11906" w:h="16838"/>
      <w:pgMar w:top="794" w:right="1134" w:bottom="102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AC" w:rsidRDefault="00B504AC" w:rsidP="009A3B5A">
      <w:pPr>
        <w:spacing w:after="0" w:line="240" w:lineRule="auto"/>
      </w:pPr>
      <w:r>
        <w:separator/>
      </w:r>
    </w:p>
  </w:endnote>
  <w:endnote w:type="continuationSeparator" w:id="0">
    <w:p w:rsidR="00B504AC" w:rsidRDefault="00B504AC" w:rsidP="009A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448785"/>
      <w:docPartObj>
        <w:docPartGallery w:val="Page Numbers (Bottom of Page)"/>
        <w:docPartUnique/>
      </w:docPartObj>
    </w:sdtPr>
    <w:sdtEndPr/>
    <w:sdtContent>
      <w:p w:rsidR="00B504AC" w:rsidRDefault="00B504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22D">
          <w:rPr>
            <w:noProof/>
          </w:rPr>
          <w:t>1</w:t>
        </w:r>
        <w:r>
          <w:fldChar w:fldCharType="end"/>
        </w:r>
      </w:p>
    </w:sdtContent>
  </w:sdt>
  <w:p w:rsidR="00B504AC" w:rsidRDefault="00B504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773562"/>
      <w:docPartObj>
        <w:docPartGallery w:val="Page Numbers (Bottom of Page)"/>
        <w:docPartUnique/>
      </w:docPartObj>
    </w:sdtPr>
    <w:sdtEndPr/>
    <w:sdtContent>
      <w:p w:rsidR="00B504AC" w:rsidRPr="000B1640" w:rsidRDefault="00B504AC" w:rsidP="000B1640">
        <w:pPr>
          <w:pStyle w:val="BasicParagraph"/>
          <w:jc w:val="center"/>
          <w:rPr>
            <w:rFonts w:ascii="Calibri" w:hAnsi="Calibri" w:cs="Calibri"/>
            <w:sz w:val="20"/>
            <w:szCs w:val="20"/>
            <w:lang w:val="cs-CZ"/>
          </w:rPr>
        </w:pPr>
        <w:r>
          <w:rPr>
            <w:rFonts w:ascii="Calibri" w:hAnsi="Calibri" w:cs="Calibri"/>
            <w:sz w:val="20"/>
            <w:szCs w:val="20"/>
            <w:lang w:val="cs-CZ"/>
          </w:rPr>
          <w:t xml:space="preserve">Fax: 950 171 496 | </w:t>
        </w:r>
        <w:r w:rsidRPr="00CE38FD">
          <w:rPr>
            <w:rFonts w:ascii="Calibri" w:hAnsi="Calibri" w:cs="Calibri"/>
            <w:sz w:val="20"/>
            <w:szCs w:val="20"/>
            <w:lang w:val="cs-CZ"/>
          </w:rPr>
          <w:t>podatelna@ul.mpsv.cz</w:t>
        </w:r>
        <w:r>
          <w:rPr>
            <w:rFonts w:ascii="Calibri" w:hAnsi="Calibri" w:cs="Calibri"/>
            <w:sz w:val="20"/>
            <w:szCs w:val="20"/>
            <w:lang w:val="cs-CZ"/>
          </w:rPr>
          <w:t xml:space="preserve"> </w:t>
        </w:r>
        <w:r w:rsidRPr="00CE38FD">
          <w:rPr>
            <w:rFonts w:ascii="Calibri" w:hAnsi="Calibri" w:cs="Calibri"/>
            <w:color w:val="auto"/>
            <w:sz w:val="20"/>
            <w:szCs w:val="20"/>
            <w:lang w:val="cs-CZ"/>
          </w:rPr>
          <w:t>| www.uradprace.cz</w:t>
        </w:r>
        <w:r>
          <w:rPr>
            <w:rFonts w:ascii="Calibri" w:hAnsi="Calibri" w:cs="Calibri"/>
            <w:color w:val="302683"/>
            <w:sz w:val="20"/>
            <w:szCs w:val="20"/>
            <w:lang w:val="cs-CZ"/>
          </w:rPr>
          <w:t xml:space="preserve"> | </w:t>
        </w:r>
        <w:r>
          <w:rPr>
            <w:rFonts w:ascii="Calibri" w:hAnsi="Calibri" w:cs="Calibri"/>
            <w:noProof/>
            <w:sz w:val="20"/>
            <w:szCs w:val="20"/>
            <w:lang w:val="cs-CZ" w:eastAsia="cs-CZ"/>
          </w:rPr>
          <w:drawing>
            <wp:inline distT="0" distB="0" distL="0" distR="0" wp14:anchorId="0E9827B1" wp14:editId="7E376B11">
              <wp:extent cx="161925" cy="161925"/>
              <wp:effectExtent l="19050" t="0" r="9525" b="0"/>
              <wp:docPr id="3" name="Obrázek 2" descr="fb_ic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b_icon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12" cy="1619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Calibri" w:hAnsi="Calibri" w:cs="Calibri"/>
            <w:position w:val="-6"/>
            <w:sz w:val="20"/>
            <w:szCs w:val="20"/>
            <w:lang w:val="cs-CZ"/>
          </w:rPr>
          <w:t xml:space="preserve"> </w:t>
        </w:r>
        <w:r>
          <w:rPr>
            <w:rFonts w:ascii="Calibri" w:hAnsi="Calibri" w:cs="Calibri"/>
            <w:sz w:val="20"/>
            <w:szCs w:val="20"/>
            <w:lang w:val="cs-CZ"/>
          </w:rPr>
          <w:t>facebook.com/uradprace.cr</w:t>
        </w:r>
      </w:p>
    </w:sdtContent>
  </w:sdt>
  <w:p w:rsidR="00B504AC" w:rsidRDefault="00B504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AC" w:rsidRDefault="00B504AC" w:rsidP="009A3B5A">
      <w:pPr>
        <w:spacing w:after="0" w:line="240" w:lineRule="auto"/>
      </w:pPr>
      <w:r>
        <w:separator/>
      </w:r>
    </w:p>
  </w:footnote>
  <w:footnote w:type="continuationSeparator" w:id="0">
    <w:p w:rsidR="00B504AC" w:rsidRDefault="00B504AC" w:rsidP="009A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985307"/>
    <w:multiLevelType w:val="hybridMultilevel"/>
    <w:tmpl w:val="EF30863E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6C5F33"/>
    <w:multiLevelType w:val="hybridMultilevel"/>
    <w:tmpl w:val="660EB31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5CE5"/>
    <w:multiLevelType w:val="hybridMultilevel"/>
    <w:tmpl w:val="FC7E0512"/>
    <w:lvl w:ilvl="0" w:tplc="67AE1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25C1A"/>
    <w:multiLevelType w:val="hybridMultilevel"/>
    <w:tmpl w:val="A162C53C"/>
    <w:lvl w:ilvl="0" w:tplc="CC0A4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77464"/>
    <w:multiLevelType w:val="singleLevel"/>
    <w:tmpl w:val="60DA15C8"/>
    <w:lvl w:ilvl="0">
      <w:numFmt w:val="bullet"/>
      <w:pStyle w:val="dk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44307B5"/>
    <w:multiLevelType w:val="hybridMultilevel"/>
    <w:tmpl w:val="0B1C845A"/>
    <w:lvl w:ilvl="0" w:tplc="FA38C902">
      <w:start w:val="5"/>
      <w:numFmt w:val="upperRoman"/>
      <w:pStyle w:val="Nadpis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3B"/>
    <w:rsid w:val="000048A2"/>
    <w:rsid w:val="0001259C"/>
    <w:rsid w:val="00013D00"/>
    <w:rsid w:val="00014C09"/>
    <w:rsid w:val="000150AD"/>
    <w:rsid w:val="0002129D"/>
    <w:rsid w:val="00036E9F"/>
    <w:rsid w:val="000419B8"/>
    <w:rsid w:val="00044385"/>
    <w:rsid w:val="00046974"/>
    <w:rsid w:val="00051440"/>
    <w:rsid w:val="00057C2B"/>
    <w:rsid w:val="00057CA1"/>
    <w:rsid w:val="000605B0"/>
    <w:rsid w:val="00072C10"/>
    <w:rsid w:val="0008191C"/>
    <w:rsid w:val="00084F90"/>
    <w:rsid w:val="00086461"/>
    <w:rsid w:val="00091269"/>
    <w:rsid w:val="000A360C"/>
    <w:rsid w:val="000A3877"/>
    <w:rsid w:val="000A3F01"/>
    <w:rsid w:val="000B0A91"/>
    <w:rsid w:val="000B1640"/>
    <w:rsid w:val="000B4116"/>
    <w:rsid w:val="000B6EEE"/>
    <w:rsid w:val="000B717B"/>
    <w:rsid w:val="000B7483"/>
    <w:rsid w:val="000C41BD"/>
    <w:rsid w:val="000E24D3"/>
    <w:rsid w:val="000F0901"/>
    <w:rsid w:val="000F37CE"/>
    <w:rsid w:val="000F5129"/>
    <w:rsid w:val="00101768"/>
    <w:rsid w:val="00102A3F"/>
    <w:rsid w:val="00110DC3"/>
    <w:rsid w:val="00110F90"/>
    <w:rsid w:val="00111608"/>
    <w:rsid w:val="0011214E"/>
    <w:rsid w:val="001133C0"/>
    <w:rsid w:val="00121FC6"/>
    <w:rsid w:val="00123747"/>
    <w:rsid w:val="00124C36"/>
    <w:rsid w:val="00130014"/>
    <w:rsid w:val="00135D97"/>
    <w:rsid w:val="00137A0F"/>
    <w:rsid w:val="001404E1"/>
    <w:rsid w:val="001417C9"/>
    <w:rsid w:val="00144CF2"/>
    <w:rsid w:val="00152134"/>
    <w:rsid w:val="001536EB"/>
    <w:rsid w:val="001575D6"/>
    <w:rsid w:val="00157BAE"/>
    <w:rsid w:val="00161441"/>
    <w:rsid w:val="0016491C"/>
    <w:rsid w:val="00166993"/>
    <w:rsid w:val="00170E8F"/>
    <w:rsid w:val="00176C3B"/>
    <w:rsid w:val="0018167C"/>
    <w:rsid w:val="0018390F"/>
    <w:rsid w:val="001932E2"/>
    <w:rsid w:val="001A3B36"/>
    <w:rsid w:val="001B05B2"/>
    <w:rsid w:val="001B58FE"/>
    <w:rsid w:val="001B7C59"/>
    <w:rsid w:val="001C0512"/>
    <w:rsid w:val="001C7650"/>
    <w:rsid w:val="001D034F"/>
    <w:rsid w:val="001E382A"/>
    <w:rsid w:val="001F4A4E"/>
    <w:rsid w:val="00205E04"/>
    <w:rsid w:val="00206015"/>
    <w:rsid w:val="002064F9"/>
    <w:rsid w:val="002124FB"/>
    <w:rsid w:val="0021250F"/>
    <w:rsid w:val="00216291"/>
    <w:rsid w:val="00220FEC"/>
    <w:rsid w:val="00224FAB"/>
    <w:rsid w:val="0022501B"/>
    <w:rsid w:val="0022786B"/>
    <w:rsid w:val="0023043E"/>
    <w:rsid w:val="00232062"/>
    <w:rsid w:val="002321C8"/>
    <w:rsid w:val="002338BB"/>
    <w:rsid w:val="00237C55"/>
    <w:rsid w:val="00245830"/>
    <w:rsid w:val="0024768E"/>
    <w:rsid w:val="00252450"/>
    <w:rsid w:val="002532F2"/>
    <w:rsid w:val="002611D6"/>
    <w:rsid w:val="00262340"/>
    <w:rsid w:val="002645FF"/>
    <w:rsid w:val="00270A5C"/>
    <w:rsid w:val="00275116"/>
    <w:rsid w:val="0027694B"/>
    <w:rsid w:val="00285B7A"/>
    <w:rsid w:val="002876E8"/>
    <w:rsid w:val="00290CD4"/>
    <w:rsid w:val="00290D24"/>
    <w:rsid w:val="00293C3D"/>
    <w:rsid w:val="002A48FD"/>
    <w:rsid w:val="002B1FE0"/>
    <w:rsid w:val="002B4A5D"/>
    <w:rsid w:val="002C1041"/>
    <w:rsid w:val="002C475D"/>
    <w:rsid w:val="002D578E"/>
    <w:rsid w:val="002D7469"/>
    <w:rsid w:val="002E0E14"/>
    <w:rsid w:val="002E2045"/>
    <w:rsid w:val="002E37D4"/>
    <w:rsid w:val="002E5A87"/>
    <w:rsid w:val="002E74AA"/>
    <w:rsid w:val="002F55B9"/>
    <w:rsid w:val="002F6856"/>
    <w:rsid w:val="002F75DD"/>
    <w:rsid w:val="0030133F"/>
    <w:rsid w:val="00301EB3"/>
    <w:rsid w:val="00306071"/>
    <w:rsid w:val="0031460A"/>
    <w:rsid w:val="003167D1"/>
    <w:rsid w:val="00316855"/>
    <w:rsid w:val="00326307"/>
    <w:rsid w:val="0033145A"/>
    <w:rsid w:val="003339D1"/>
    <w:rsid w:val="003344B6"/>
    <w:rsid w:val="00336979"/>
    <w:rsid w:val="003417D6"/>
    <w:rsid w:val="00341877"/>
    <w:rsid w:val="0034384E"/>
    <w:rsid w:val="00346289"/>
    <w:rsid w:val="00356BDC"/>
    <w:rsid w:val="003573E3"/>
    <w:rsid w:val="00362343"/>
    <w:rsid w:val="003655A1"/>
    <w:rsid w:val="00367CCE"/>
    <w:rsid w:val="00371529"/>
    <w:rsid w:val="00374008"/>
    <w:rsid w:val="00374AC7"/>
    <w:rsid w:val="00376B3E"/>
    <w:rsid w:val="003776DF"/>
    <w:rsid w:val="00384B00"/>
    <w:rsid w:val="00390044"/>
    <w:rsid w:val="00391761"/>
    <w:rsid w:val="00392776"/>
    <w:rsid w:val="00394B3C"/>
    <w:rsid w:val="003A1162"/>
    <w:rsid w:val="003A52A5"/>
    <w:rsid w:val="003B0683"/>
    <w:rsid w:val="003B3AC5"/>
    <w:rsid w:val="003B40F6"/>
    <w:rsid w:val="003D06A9"/>
    <w:rsid w:val="003D3EEC"/>
    <w:rsid w:val="003D71E2"/>
    <w:rsid w:val="003E2EC9"/>
    <w:rsid w:val="003F113F"/>
    <w:rsid w:val="003F1DC7"/>
    <w:rsid w:val="003F4897"/>
    <w:rsid w:val="00404D90"/>
    <w:rsid w:val="0040649F"/>
    <w:rsid w:val="00413442"/>
    <w:rsid w:val="00415334"/>
    <w:rsid w:val="0041534C"/>
    <w:rsid w:val="00415FCF"/>
    <w:rsid w:val="0041637B"/>
    <w:rsid w:val="00417C88"/>
    <w:rsid w:val="00422808"/>
    <w:rsid w:val="004234D2"/>
    <w:rsid w:val="00425993"/>
    <w:rsid w:val="004273ED"/>
    <w:rsid w:val="00427BAD"/>
    <w:rsid w:val="00431186"/>
    <w:rsid w:val="004333A8"/>
    <w:rsid w:val="00436020"/>
    <w:rsid w:val="004401D3"/>
    <w:rsid w:val="004424CC"/>
    <w:rsid w:val="00442732"/>
    <w:rsid w:val="00443243"/>
    <w:rsid w:val="004450C8"/>
    <w:rsid w:val="00446CB7"/>
    <w:rsid w:val="00447612"/>
    <w:rsid w:val="0045153D"/>
    <w:rsid w:val="00452F45"/>
    <w:rsid w:val="00453457"/>
    <w:rsid w:val="004575A8"/>
    <w:rsid w:val="00461051"/>
    <w:rsid w:val="00461B8A"/>
    <w:rsid w:val="0046736F"/>
    <w:rsid w:val="004755A7"/>
    <w:rsid w:val="00475646"/>
    <w:rsid w:val="0048092D"/>
    <w:rsid w:val="00484B1F"/>
    <w:rsid w:val="00487472"/>
    <w:rsid w:val="004913D8"/>
    <w:rsid w:val="0049683A"/>
    <w:rsid w:val="004B1376"/>
    <w:rsid w:val="004B390C"/>
    <w:rsid w:val="004B7830"/>
    <w:rsid w:val="004B7CF1"/>
    <w:rsid w:val="004C185A"/>
    <w:rsid w:val="004C601D"/>
    <w:rsid w:val="004D710E"/>
    <w:rsid w:val="004D72E0"/>
    <w:rsid w:val="004E3656"/>
    <w:rsid w:val="004E458F"/>
    <w:rsid w:val="004E5B92"/>
    <w:rsid w:val="004E7898"/>
    <w:rsid w:val="004E7D20"/>
    <w:rsid w:val="004F2B4C"/>
    <w:rsid w:val="004F5DD8"/>
    <w:rsid w:val="005071E0"/>
    <w:rsid w:val="00511AEB"/>
    <w:rsid w:val="00513A4F"/>
    <w:rsid w:val="00515729"/>
    <w:rsid w:val="005157D5"/>
    <w:rsid w:val="00520ED7"/>
    <w:rsid w:val="00522092"/>
    <w:rsid w:val="00526F35"/>
    <w:rsid w:val="0052722D"/>
    <w:rsid w:val="00527F64"/>
    <w:rsid w:val="00530E3D"/>
    <w:rsid w:val="00531B57"/>
    <w:rsid w:val="005432D9"/>
    <w:rsid w:val="005453F2"/>
    <w:rsid w:val="00551257"/>
    <w:rsid w:val="00554215"/>
    <w:rsid w:val="0056053A"/>
    <w:rsid w:val="005606AF"/>
    <w:rsid w:val="00563194"/>
    <w:rsid w:val="00566310"/>
    <w:rsid w:val="00577423"/>
    <w:rsid w:val="00582E0A"/>
    <w:rsid w:val="00585C13"/>
    <w:rsid w:val="00585EF8"/>
    <w:rsid w:val="00586975"/>
    <w:rsid w:val="005939E2"/>
    <w:rsid w:val="0059448F"/>
    <w:rsid w:val="005A3FFA"/>
    <w:rsid w:val="005A44FE"/>
    <w:rsid w:val="005B35E6"/>
    <w:rsid w:val="005B467E"/>
    <w:rsid w:val="005B7582"/>
    <w:rsid w:val="005B7724"/>
    <w:rsid w:val="005C0854"/>
    <w:rsid w:val="005C499D"/>
    <w:rsid w:val="005C4F30"/>
    <w:rsid w:val="005C7BA6"/>
    <w:rsid w:val="005C7BCE"/>
    <w:rsid w:val="005D31AF"/>
    <w:rsid w:val="005D5094"/>
    <w:rsid w:val="005D74A6"/>
    <w:rsid w:val="005E0D71"/>
    <w:rsid w:val="005E7837"/>
    <w:rsid w:val="005F4BC9"/>
    <w:rsid w:val="005F7131"/>
    <w:rsid w:val="00600006"/>
    <w:rsid w:val="00600AC1"/>
    <w:rsid w:val="006019A5"/>
    <w:rsid w:val="006059EE"/>
    <w:rsid w:val="00607044"/>
    <w:rsid w:val="00607E95"/>
    <w:rsid w:val="006150F4"/>
    <w:rsid w:val="00616B2C"/>
    <w:rsid w:val="0061782E"/>
    <w:rsid w:val="006301BD"/>
    <w:rsid w:val="00630712"/>
    <w:rsid w:val="00631702"/>
    <w:rsid w:val="00634DC3"/>
    <w:rsid w:val="00641BBE"/>
    <w:rsid w:val="0064322D"/>
    <w:rsid w:val="00644ABD"/>
    <w:rsid w:val="00654152"/>
    <w:rsid w:val="00655D8D"/>
    <w:rsid w:val="00655DC7"/>
    <w:rsid w:val="006621D0"/>
    <w:rsid w:val="0066354A"/>
    <w:rsid w:val="00664F1C"/>
    <w:rsid w:val="00666089"/>
    <w:rsid w:val="00671284"/>
    <w:rsid w:val="00671475"/>
    <w:rsid w:val="00671965"/>
    <w:rsid w:val="00672981"/>
    <w:rsid w:val="006758C8"/>
    <w:rsid w:val="00677166"/>
    <w:rsid w:val="00680B16"/>
    <w:rsid w:val="006815FE"/>
    <w:rsid w:val="00687D54"/>
    <w:rsid w:val="0069498F"/>
    <w:rsid w:val="006951CA"/>
    <w:rsid w:val="00697538"/>
    <w:rsid w:val="00697FF3"/>
    <w:rsid w:val="006A1C6F"/>
    <w:rsid w:val="006A49ED"/>
    <w:rsid w:val="006B2570"/>
    <w:rsid w:val="006C032B"/>
    <w:rsid w:val="006C1CB4"/>
    <w:rsid w:val="006D3528"/>
    <w:rsid w:val="006F03E1"/>
    <w:rsid w:val="006F184E"/>
    <w:rsid w:val="006F5955"/>
    <w:rsid w:val="0070024D"/>
    <w:rsid w:val="007019C7"/>
    <w:rsid w:val="00702CB5"/>
    <w:rsid w:val="00704F80"/>
    <w:rsid w:val="00710472"/>
    <w:rsid w:val="00713432"/>
    <w:rsid w:val="00716186"/>
    <w:rsid w:val="00716918"/>
    <w:rsid w:val="007225F6"/>
    <w:rsid w:val="00725E1B"/>
    <w:rsid w:val="00727645"/>
    <w:rsid w:val="00730FBD"/>
    <w:rsid w:val="007447E3"/>
    <w:rsid w:val="00744FD3"/>
    <w:rsid w:val="00757EB7"/>
    <w:rsid w:val="00760E3B"/>
    <w:rsid w:val="00761A3D"/>
    <w:rsid w:val="00762158"/>
    <w:rsid w:val="00775863"/>
    <w:rsid w:val="0078519A"/>
    <w:rsid w:val="007921EC"/>
    <w:rsid w:val="0079551C"/>
    <w:rsid w:val="00797115"/>
    <w:rsid w:val="007A56F3"/>
    <w:rsid w:val="007B6BC7"/>
    <w:rsid w:val="007C3DC6"/>
    <w:rsid w:val="007C6BEF"/>
    <w:rsid w:val="007D0C40"/>
    <w:rsid w:val="007E135D"/>
    <w:rsid w:val="007E1F0F"/>
    <w:rsid w:val="007F137D"/>
    <w:rsid w:val="007F2234"/>
    <w:rsid w:val="007F4A27"/>
    <w:rsid w:val="007F515A"/>
    <w:rsid w:val="007F79EA"/>
    <w:rsid w:val="008019F5"/>
    <w:rsid w:val="0080215C"/>
    <w:rsid w:val="0080375A"/>
    <w:rsid w:val="0082003E"/>
    <w:rsid w:val="00821D46"/>
    <w:rsid w:val="0083197F"/>
    <w:rsid w:val="00850933"/>
    <w:rsid w:val="008529D4"/>
    <w:rsid w:val="008534A5"/>
    <w:rsid w:val="00856F33"/>
    <w:rsid w:val="00864479"/>
    <w:rsid w:val="00864FAB"/>
    <w:rsid w:val="00880AF2"/>
    <w:rsid w:val="00882D05"/>
    <w:rsid w:val="008903B0"/>
    <w:rsid w:val="00893955"/>
    <w:rsid w:val="0089631E"/>
    <w:rsid w:val="008A3D7A"/>
    <w:rsid w:val="008A4B20"/>
    <w:rsid w:val="008A4CA1"/>
    <w:rsid w:val="008A657F"/>
    <w:rsid w:val="008A7505"/>
    <w:rsid w:val="008A7A33"/>
    <w:rsid w:val="008C392B"/>
    <w:rsid w:val="008C690B"/>
    <w:rsid w:val="008C74F4"/>
    <w:rsid w:val="008D41C4"/>
    <w:rsid w:val="008E478E"/>
    <w:rsid w:val="008F5206"/>
    <w:rsid w:val="00903463"/>
    <w:rsid w:val="0092014C"/>
    <w:rsid w:val="00921DFB"/>
    <w:rsid w:val="00926357"/>
    <w:rsid w:val="009268BF"/>
    <w:rsid w:val="00926AE1"/>
    <w:rsid w:val="00931AA6"/>
    <w:rsid w:val="00941F01"/>
    <w:rsid w:val="00942277"/>
    <w:rsid w:val="00951AEC"/>
    <w:rsid w:val="009557F7"/>
    <w:rsid w:val="00961C03"/>
    <w:rsid w:val="00962063"/>
    <w:rsid w:val="00972387"/>
    <w:rsid w:val="00973845"/>
    <w:rsid w:val="00976D0B"/>
    <w:rsid w:val="009823A6"/>
    <w:rsid w:val="009870FF"/>
    <w:rsid w:val="00992D51"/>
    <w:rsid w:val="00994168"/>
    <w:rsid w:val="00996021"/>
    <w:rsid w:val="009A31F7"/>
    <w:rsid w:val="009A3B5A"/>
    <w:rsid w:val="009A4100"/>
    <w:rsid w:val="009A503C"/>
    <w:rsid w:val="009B1E16"/>
    <w:rsid w:val="009B27D9"/>
    <w:rsid w:val="009C44FF"/>
    <w:rsid w:val="009C4D5B"/>
    <w:rsid w:val="009C67FD"/>
    <w:rsid w:val="009C6D05"/>
    <w:rsid w:val="009D656E"/>
    <w:rsid w:val="009D7FA0"/>
    <w:rsid w:val="009E0478"/>
    <w:rsid w:val="009E34E5"/>
    <w:rsid w:val="009E559B"/>
    <w:rsid w:val="009F5E11"/>
    <w:rsid w:val="00A02E00"/>
    <w:rsid w:val="00A041D7"/>
    <w:rsid w:val="00A06589"/>
    <w:rsid w:val="00A0659E"/>
    <w:rsid w:val="00A13FB1"/>
    <w:rsid w:val="00A22E0F"/>
    <w:rsid w:val="00A26BD0"/>
    <w:rsid w:val="00A30A65"/>
    <w:rsid w:val="00A34A06"/>
    <w:rsid w:val="00A34C96"/>
    <w:rsid w:val="00A529D5"/>
    <w:rsid w:val="00A55488"/>
    <w:rsid w:val="00A6102E"/>
    <w:rsid w:val="00A76772"/>
    <w:rsid w:val="00A77AD1"/>
    <w:rsid w:val="00A865D3"/>
    <w:rsid w:val="00A87ABD"/>
    <w:rsid w:val="00A909C6"/>
    <w:rsid w:val="00A9171F"/>
    <w:rsid w:val="00AA03F0"/>
    <w:rsid w:val="00AB2108"/>
    <w:rsid w:val="00AB4A45"/>
    <w:rsid w:val="00AB743D"/>
    <w:rsid w:val="00AC238A"/>
    <w:rsid w:val="00AC5102"/>
    <w:rsid w:val="00AC5972"/>
    <w:rsid w:val="00AC6118"/>
    <w:rsid w:val="00AD0E64"/>
    <w:rsid w:val="00AD5EE5"/>
    <w:rsid w:val="00AD6DC1"/>
    <w:rsid w:val="00AE4183"/>
    <w:rsid w:val="00AE435C"/>
    <w:rsid w:val="00AE46A9"/>
    <w:rsid w:val="00AE7C67"/>
    <w:rsid w:val="00AE7FFB"/>
    <w:rsid w:val="00AF1D2B"/>
    <w:rsid w:val="00AF34F4"/>
    <w:rsid w:val="00AF41C3"/>
    <w:rsid w:val="00AF4D92"/>
    <w:rsid w:val="00AF7C7F"/>
    <w:rsid w:val="00AF7E58"/>
    <w:rsid w:val="00B019D2"/>
    <w:rsid w:val="00B049B0"/>
    <w:rsid w:val="00B04CC3"/>
    <w:rsid w:val="00B070A5"/>
    <w:rsid w:val="00B074CE"/>
    <w:rsid w:val="00B15EFE"/>
    <w:rsid w:val="00B26D18"/>
    <w:rsid w:val="00B272D4"/>
    <w:rsid w:val="00B37E7A"/>
    <w:rsid w:val="00B41545"/>
    <w:rsid w:val="00B43DA2"/>
    <w:rsid w:val="00B442F6"/>
    <w:rsid w:val="00B501CD"/>
    <w:rsid w:val="00B504AC"/>
    <w:rsid w:val="00B52A27"/>
    <w:rsid w:val="00B63666"/>
    <w:rsid w:val="00B6489C"/>
    <w:rsid w:val="00B64F20"/>
    <w:rsid w:val="00B6728C"/>
    <w:rsid w:val="00B70995"/>
    <w:rsid w:val="00B70EF2"/>
    <w:rsid w:val="00B7357F"/>
    <w:rsid w:val="00B73FF0"/>
    <w:rsid w:val="00B770F1"/>
    <w:rsid w:val="00B773BD"/>
    <w:rsid w:val="00B86BC3"/>
    <w:rsid w:val="00BB0166"/>
    <w:rsid w:val="00BB2101"/>
    <w:rsid w:val="00BB2347"/>
    <w:rsid w:val="00BB7028"/>
    <w:rsid w:val="00BB771A"/>
    <w:rsid w:val="00BC0199"/>
    <w:rsid w:val="00BC2B47"/>
    <w:rsid w:val="00BD48F5"/>
    <w:rsid w:val="00BE1507"/>
    <w:rsid w:val="00BE7C1B"/>
    <w:rsid w:val="00BF0EA3"/>
    <w:rsid w:val="00BF6A64"/>
    <w:rsid w:val="00BF6DDA"/>
    <w:rsid w:val="00C00833"/>
    <w:rsid w:val="00C02DE4"/>
    <w:rsid w:val="00C041FD"/>
    <w:rsid w:val="00C062C2"/>
    <w:rsid w:val="00C10EEA"/>
    <w:rsid w:val="00C2253F"/>
    <w:rsid w:val="00C22545"/>
    <w:rsid w:val="00C2664D"/>
    <w:rsid w:val="00C32B67"/>
    <w:rsid w:val="00C35086"/>
    <w:rsid w:val="00C3681F"/>
    <w:rsid w:val="00C429D2"/>
    <w:rsid w:val="00C43B48"/>
    <w:rsid w:val="00C44B51"/>
    <w:rsid w:val="00C4529B"/>
    <w:rsid w:val="00C46987"/>
    <w:rsid w:val="00C525FC"/>
    <w:rsid w:val="00C52B1C"/>
    <w:rsid w:val="00C53961"/>
    <w:rsid w:val="00C54356"/>
    <w:rsid w:val="00C60483"/>
    <w:rsid w:val="00C65273"/>
    <w:rsid w:val="00C704C1"/>
    <w:rsid w:val="00C70A7C"/>
    <w:rsid w:val="00C71DD7"/>
    <w:rsid w:val="00C72530"/>
    <w:rsid w:val="00C7518F"/>
    <w:rsid w:val="00C75B7E"/>
    <w:rsid w:val="00C82AC6"/>
    <w:rsid w:val="00C85F75"/>
    <w:rsid w:val="00C86138"/>
    <w:rsid w:val="00C86E79"/>
    <w:rsid w:val="00C90A0D"/>
    <w:rsid w:val="00C91D93"/>
    <w:rsid w:val="00C97323"/>
    <w:rsid w:val="00CA3240"/>
    <w:rsid w:val="00CB3AE5"/>
    <w:rsid w:val="00CB6D73"/>
    <w:rsid w:val="00CC2011"/>
    <w:rsid w:val="00CD0D10"/>
    <w:rsid w:val="00CD3B1E"/>
    <w:rsid w:val="00CD3C6F"/>
    <w:rsid w:val="00CD6BCE"/>
    <w:rsid w:val="00CE4291"/>
    <w:rsid w:val="00CE4DB6"/>
    <w:rsid w:val="00CE6576"/>
    <w:rsid w:val="00CF749C"/>
    <w:rsid w:val="00D05207"/>
    <w:rsid w:val="00D070BE"/>
    <w:rsid w:val="00D07D1E"/>
    <w:rsid w:val="00D135A9"/>
    <w:rsid w:val="00D13CAE"/>
    <w:rsid w:val="00D15E87"/>
    <w:rsid w:val="00D23AB2"/>
    <w:rsid w:val="00D27037"/>
    <w:rsid w:val="00D336C6"/>
    <w:rsid w:val="00D338A8"/>
    <w:rsid w:val="00D36AA3"/>
    <w:rsid w:val="00D3701C"/>
    <w:rsid w:val="00D37D02"/>
    <w:rsid w:val="00D43649"/>
    <w:rsid w:val="00D437D7"/>
    <w:rsid w:val="00D46917"/>
    <w:rsid w:val="00D51950"/>
    <w:rsid w:val="00D535C1"/>
    <w:rsid w:val="00D54551"/>
    <w:rsid w:val="00D54B83"/>
    <w:rsid w:val="00D55B10"/>
    <w:rsid w:val="00D55C44"/>
    <w:rsid w:val="00D60461"/>
    <w:rsid w:val="00D618DC"/>
    <w:rsid w:val="00D61C92"/>
    <w:rsid w:val="00D735BD"/>
    <w:rsid w:val="00D81DDF"/>
    <w:rsid w:val="00D903DC"/>
    <w:rsid w:val="00D9215F"/>
    <w:rsid w:val="00D95911"/>
    <w:rsid w:val="00D96ACC"/>
    <w:rsid w:val="00DA1CC9"/>
    <w:rsid w:val="00DA63EE"/>
    <w:rsid w:val="00DB08E4"/>
    <w:rsid w:val="00DB0968"/>
    <w:rsid w:val="00DC268F"/>
    <w:rsid w:val="00DC442C"/>
    <w:rsid w:val="00DC4C5A"/>
    <w:rsid w:val="00DC74C7"/>
    <w:rsid w:val="00DD2A08"/>
    <w:rsid w:val="00DD2B9A"/>
    <w:rsid w:val="00DD508D"/>
    <w:rsid w:val="00DE0261"/>
    <w:rsid w:val="00DF3B3D"/>
    <w:rsid w:val="00DF5C72"/>
    <w:rsid w:val="00E01DE9"/>
    <w:rsid w:val="00E10B73"/>
    <w:rsid w:val="00E13015"/>
    <w:rsid w:val="00E14389"/>
    <w:rsid w:val="00E15AB2"/>
    <w:rsid w:val="00E16EC6"/>
    <w:rsid w:val="00E253B3"/>
    <w:rsid w:val="00E25CC9"/>
    <w:rsid w:val="00E27B2F"/>
    <w:rsid w:val="00E3475F"/>
    <w:rsid w:val="00E358BD"/>
    <w:rsid w:val="00E36FDF"/>
    <w:rsid w:val="00E4382D"/>
    <w:rsid w:val="00E47BCB"/>
    <w:rsid w:val="00E508D2"/>
    <w:rsid w:val="00E52E9F"/>
    <w:rsid w:val="00E56091"/>
    <w:rsid w:val="00E61AF8"/>
    <w:rsid w:val="00E64226"/>
    <w:rsid w:val="00E76587"/>
    <w:rsid w:val="00E76731"/>
    <w:rsid w:val="00E769FC"/>
    <w:rsid w:val="00E879AD"/>
    <w:rsid w:val="00E90D45"/>
    <w:rsid w:val="00E91693"/>
    <w:rsid w:val="00E95A20"/>
    <w:rsid w:val="00EA2D5D"/>
    <w:rsid w:val="00EA3D35"/>
    <w:rsid w:val="00EA7F4B"/>
    <w:rsid w:val="00EB1C34"/>
    <w:rsid w:val="00EB1CC7"/>
    <w:rsid w:val="00EC0723"/>
    <w:rsid w:val="00EC0985"/>
    <w:rsid w:val="00EC41A2"/>
    <w:rsid w:val="00EC4BDE"/>
    <w:rsid w:val="00EC7BDD"/>
    <w:rsid w:val="00ED2397"/>
    <w:rsid w:val="00ED3F21"/>
    <w:rsid w:val="00ED5E6B"/>
    <w:rsid w:val="00EE078B"/>
    <w:rsid w:val="00EE0CC5"/>
    <w:rsid w:val="00EE1B4E"/>
    <w:rsid w:val="00F021B8"/>
    <w:rsid w:val="00F052AB"/>
    <w:rsid w:val="00F0588B"/>
    <w:rsid w:val="00F0703B"/>
    <w:rsid w:val="00F13DA1"/>
    <w:rsid w:val="00F2159C"/>
    <w:rsid w:val="00F22EBB"/>
    <w:rsid w:val="00F24DBC"/>
    <w:rsid w:val="00F31AC7"/>
    <w:rsid w:val="00F31EE9"/>
    <w:rsid w:val="00F32673"/>
    <w:rsid w:val="00F3603D"/>
    <w:rsid w:val="00F4232B"/>
    <w:rsid w:val="00F45ECE"/>
    <w:rsid w:val="00F60636"/>
    <w:rsid w:val="00F641C5"/>
    <w:rsid w:val="00F67BBB"/>
    <w:rsid w:val="00F710D1"/>
    <w:rsid w:val="00F71527"/>
    <w:rsid w:val="00F73BC6"/>
    <w:rsid w:val="00F84314"/>
    <w:rsid w:val="00F860EB"/>
    <w:rsid w:val="00F87D45"/>
    <w:rsid w:val="00F96453"/>
    <w:rsid w:val="00FA0645"/>
    <w:rsid w:val="00FA2C8A"/>
    <w:rsid w:val="00FA7EDF"/>
    <w:rsid w:val="00FB2D01"/>
    <w:rsid w:val="00FC16EC"/>
    <w:rsid w:val="00FC7FD7"/>
    <w:rsid w:val="00FD376E"/>
    <w:rsid w:val="00FD7616"/>
    <w:rsid w:val="00FE54DB"/>
    <w:rsid w:val="00FF4351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mpsv.cz/upcr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hyperlink" Target="http://portal.mpsv.cz/sz/stat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psv.cz/upcr/kp/ulk/informace/bulletiny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39E6-A181-4F82-83B7-F4B7263F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5968</TotalTime>
  <Pages>24</Pages>
  <Words>7739</Words>
  <Characters>45665</Characters>
  <Application>Microsoft Office Word</Application>
  <DocSecurity>0</DocSecurity>
  <Lines>380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Tuček Michal Bc. (UL)</dc:creator>
  <cp:lastModifiedBy>Tuček Michal</cp:lastModifiedBy>
  <cp:revision>370</cp:revision>
  <cp:lastPrinted>2014-02-10T08:55:00Z</cp:lastPrinted>
  <dcterms:created xsi:type="dcterms:W3CDTF">2013-08-19T11:54:00Z</dcterms:created>
  <dcterms:modified xsi:type="dcterms:W3CDTF">2014-07-17T05:39:00Z</dcterms:modified>
</cp:coreProperties>
</file>