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360" w:lineRule="auto"/>
        <w:rPr>
          <w:rFonts w:ascii="Arial" w:hAnsi="Arial" w:cs="Arial"/>
          <w:color w:val="0066FF"/>
          <w:sz w:val="24"/>
          <w:szCs w:val="24"/>
        </w:rPr>
      </w:pPr>
      <w:r>
        <w:rPr>
          <w:rFonts w:ascii="Arial" w:hAnsi="Arial" w:cs="Arial"/>
          <w:noProof/>
          <w:color w:val="0066FF"/>
          <w:sz w:val="48"/>
          <w:szCs w:val="48"/>
          <w:lang w:eastAsia="cs-CZ"/>
        </w:rPr>
        <w:drawing>
          <wp:inline distT="0" distB="0" distL="0" distR="0">
            <wp:extent cx="1114425" cy="895350"/>
            <wp:effectExtent l="0" t="0" r="9525" b="0"/>
            <wp:docPr id="6" name="Obrázek 6" descr="C:\Users\jakub.novak\Documents\Logomanuál ÚP ČR\loga\up_logo_zakladni_rgb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ub.novak\Documents\Logomanuál ÚP ČR\loga\up_logo_zakladni_rgb_MA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95350"/>
                    </a:xfrm>
                    <a:prstGeom prst="rect">
                      <a:avLst/>
                    </a:prstGeom>
                    <a:solidFill>
                      <a:srgbClr val="001E9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66FF"/>
          <w:sz w:val="48"/>
          <w:szCs w:val="48"/>
        </w:rPr>
        <w:t xml:space="preserve"> </w:t>
      </w:r>
    </w:p>
    <w:p>
      <w:pPr>
        <w:spacing w:after="0" w:line="360" w:lineRule="auto"/>
        <w:rPr>
          <w:rFonts w:ascii="Arial" w:hAnsi="Arial" w:cs="Arial"/>
          <w:color w:val="0066FF"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color w:val="0066FF"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color w:val="0066FF"/>
          <w:sz w:val="24"/>
          <w:szCs w:val="24"/>
        </w:rPr>
      </w:pPr>
    </w:p>
    <w:p>
      <w:pPr>
        <w:spacing w:after="0" w:line="360" w:lineRule="auto"/>
        <w:jc w:val="center"/>
        <w:rPr>
          <w:rFonts w:ascii="Arial" w:hAnsi="Arial" w:cs="Arial"/>
          <w:color w:val="001E96"/>
          <w:sz w:val="48"/>
          <w:szCs w:val="48"/>
        </w:rPr>
      </w:pPr>
      <w:r>
        <w:rPr>
          <w:rFonts w:ascii="Arial" w:hAnsi="Arial" w:cs="Arial"/>
          <w:color w:val="001E96"/>
          <w:sz w:val="48"/>
          <w:szCs w:val="48"/>
        </w:rPr>
        <w:t xml:space="preserve">Krajská pobočka Úřadu práce ČR </w:t>
      </w:r>
    </w:p>
    <w:p>
      <w:pPr>
        <w:spacing w:after="0" w:line="360" w:lineRule="auto"/>
        <w:jc w:val="center"/>
        <w:rPr>
          <w:rFonts w:ascii="Arial" w:hAnsi="Arial" w:cs="Arial"/>
          <w:color w:val="001E96"/>
          <w:sz w:val="48"/>
          <w:szCs w:val="48"/>
        </w:rPr>
      </w:pPr>
      <w:r>
        <w:rPr>
          <w:rFonts w:ascii="Arial" w:hAnsi="Arial" w:cs="Arial"/>
          <w:color w:val="001E96"/>
          <w:sz w:val="48"/>
          <w:szCs w:val="48"/>
        </w:rPr>
        <w:t>v Ústí nad Labem</w:t>
      </w:r>
    </w:p>
    <w:p>
      <w:pPr>
        <w:spacing w:after="0" w:line="360" w:lineRule="auto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>
      <w:pPr>
        <w:spacing w:after="0" w:line="360" w:lineRule="auto"/>
        <w:jc w:val="center"/>
        <w:rPr>
          <w:rFonts w:ascii="Arial" w:hAnsi="Arial" w:cs="Arial"/>
          <w:b/>
          <w:color w:val="0066FF"/>
          <w:sz w:val="48"/>
          <w:szCs w:val="48"/>
        </w:rPr>
      </w:pPr>
      <w:r>
        <w:rPr>
          <w:rFonts w:ascii="Arial" w:hAnsi="Arial" w:cs="Arial"/>
          <w:b/>
          <w:color w:val="001E96"/>
          <w:sz w:val="48"/>
          <w:szCs w:val="48"/>
        </w:rPr>
        <w:t>Měsíční statistická zpráva</w:t>
      </w:r>
      <w:r>
        <w:rPr>
          <w:rFonts w:ascii="Arial" w:hAnsi="Arial" w:cs="Arial"/>
          <w:b/>
          <w:color w:val="001E96"/>
          <w:sz w:val="48"/>
          <w:szCs w:val="48"/>
        </w:rPr>
        <w:br/>
      </w:r>
      <w:r>
        <w:rPr>
          <w:rFonts w:ascii="Arial" w:hAnsi="Arial" w:cs="Arial"/>
          <w:b/>
          <w:i/>
          <w:color w:val="001E96"/>
          <w:sz w:val="40"/>
          <w:szCs w:val="40"/>
        </w:rPr>
        <w:t>duben 2017</w:t>
      </w:r>
    </w:p>
    <w:p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Zpracoval: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Bc. Michal Tuček</w:t>
      </w:r>
    </w:p>
    <w:p>
      <w:pPr>
        <w:spacing w:after="0" w:line="360" w:lineRule="auto"/>
        <w:rPr>
          <w:rFonts w:ascii="Arial" w:hAnsi="Arial" w:cs="Arial"/>
          <w:i/>
          <w:sz w:val="28"/>
          <w:szCs w:val="28"/>
        </w:rPr>
      </w:pPr>
      <w:hyperlink r:id="rId10" w:history="1">
        <w:r>
          <w:rPr>
            <w:rStyle w:val="Hypertextovodkaz"/>
            <w:rFonts w:ascii="Arial" w:hAnsi="Arial" w:cs="Arial"/>
            <w:i/>
            <w:color w:val="auto"/>
            <w:sz w:val="28"/>
            <w:szCs w:val="28"/>
          </w:rPr>
          <w:t>http://portal.mpsv.cz/upcr/kp/ulk/informace/bulletiny</w:t>
        </w:r>
      </w:hyperlink>
    </w:p>
    <w:p>
      <w:pPr>
        <w:pStyle w:val="Nzev"/>
        <w:spacing w:line="360" w:lineRule="auto"/>
        <w:jc w:val="left"/>
        <w:outlineLvl w:val="0"/>
        <w:rPr>
          <w:rFonts w:ascii="Arial" w:hAnsi="Arial" w:cs="Arial"/>
          <w:sz w:val="24"/>
          <w:szCs w:val="24"/>
        </w:rPr>
      </w:pPr>
    </w:p>
    <w:p>
      <w:pPr>
        <w:pStyle w:val="Nzev"/>
        <w:spacing w:line="360" w:lineRule="auto"/>
        <w:outlineLvl w:val="0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lastRenderedPageBreak/>
        <w:t>Informace o nezaměstnanosti v Ústeckém kraji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 30. 4. 2017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outlineLvl w:val="0"/>
        <w:rPr>
          <w:rFonts w:ascii="Arial" w:hAnsi="Arial" w:cs="Arial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tomto měsíci celkový počet uchazečů o zaměstnání klesl o 5,1  % na 40 377 osob, počet hlášených volných pracovních míst vzrostl o 7,0 % na 9 044 míst a podíl nezaměstnaných osob klesl na 7,02 %. </w:t>
      </w:r>
    </w:p>
    <w:p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 30. 4. 2017 evidoval Úřad práce ČR (ÚP ČR), Krajská pobočka v Ústí nad Labem celkem 40 377 uchazečů o zaměstnání</w:t>
      </w:r>
      <w:r>
        <w:rPr>
          <w:rFonts w:ascii="Arial" w:hAnsi="Arial" w:cs="Arial"/>
          <w:sz w:val="24"/>
          <w:szCs w:val="24"/>
        </w:rPr>
        <w:t xml:space="preserve">. Jejich počet byl o 2 179 nižší než na konci předchozího měsíce a ve srovnání se stejným obdobím minulého roku nižší o 9 602 osob. Z tohoto počtu bylo 37 802 </w:t>
      </w:r>
      <w:r>
        <w:rPr>
          <w:rFonts w:ascii="Arial" w:hAnsi="Arial" w:cs="Arial"/>
          <w:bCs/>
          <w:sz w:val="24"/>
          <w:szCs w:val="24"/>
        </w:rPr>
        <w:t>dosažitelných uchazečů o zaměstnání ve věku 15 - 64 let</w:t>
      </w:r>
      <w:r>
        <w:rPr>
          <w:rFonts w:ascii="Arial" w:hAnsi="Arial" w:cs="Arial"/>
          <w:sz w:val="24"/>
          <w:szCs w:val="24"/>
        </w:rPr>
        <w:t xml:space="preserve">. Bylo to o 2 201 osob méně než na konci předchozího měsíce. Ve srovnání se stejným obdobím minulého roku byl jejich počet nižší o 10 183 uchazečů. </w:t>
      </w:r>
    </w:p>
    <w:p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 průběhu měsíce bylo nově zaevidováno 3 800 osob. Ve srovnání s minulým měsícem to bylo méně o 684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Cs/>
          <w:sz w:val="24"/>
          <w:szCs w:val="24"/>
        </w:rPr>
        <w:t xml:space="preserve">osob a v porovnání se stejným obdobím předchozího roku </w:t>
      </w:r>
      <w:r>
        <w:rPr>
          <w:rFonts w:ascii="Arial" w:hAnsi="Arial" w:cs="Arial"/>
          <w:sz w:val="24"/>
          <w:szCs w:val="24"/>
        </w:rPr>
        <w:t>o 1 046 osob.</w:t>
      </w:r>
    </w:p>
    <w:p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Z evidence během měsíce odešlo celkem 5 979 uchazečů </w:t>
      </w:r>
      <w:r>
        <w:rPr>
          <w:rFonts w:ascii="Arial" w:hAnsi="Arial" w:cs="Arial"/>
          <w:sz w:val="24"/>
          <w:szCs w:val="24"/>
        </w:rPr>
        <w:t>(ukončená evidence, vyřazení uchazeči). Bylo to o 573 osob méně než v předchozím měsíci a o 125 osob méně</w:t>
      </w:r>
      <w:r>
        <w:rPr>
          <w:rFonts w:ascii="Arial" w:hAnsi="Arial" w:cs="Arial"/>
          <w:sz w:val="24"/>
          <w:szCs w:val="24"/>
        </w:rPr>
        <w:br/>
        <w:t>než ve stejném měsíci minulého roku. Do zaměstnání z nich ve sledovaném měsíci nastoupilo 4 075, tj. o 224 méně než v předchozím měsíci a o 121 méně než ve stejném měsíci minulého roku, 1 260 uchazečů o zaměstnání bylo umístěno prostřednictvím úřadu práce, tj. o 45 méně než v předchozím měsíci a o 16 více než ve stejném období minulého roku, 1 904 uchazečů bylo vyřazeno bez umístění (sankčně, ostatní).</w:t>
      </w:r>
    </w:p>
    <w:p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Meziměsíční</w:t>
      </w:r>
      <w:r>
        <w:rPr>
          <w:rFonts w:ascii="Arial" w:hAnsi="Arial" w:cs="Arial"/>
          <w:sz w:val="24"/>
          <w:szCs w:val="24"/>
        </w:rPr>
        <w:t xml:space="preserve"> pokles </w:t>
      </w:r>
      <w:r>
        <w:rPr>
          <w:rFonts w:ascii="Arial" w:hAnsi="Arial" w:cs="Arial"/>
          <w:bCs/>
          <w:sz w:val="24"/>
          <w:szCs w:val="24"/>
        </w:rPr>
        <w:t xml:space="preserve">byl </w:t>
      </w:r>
      <w:r>
        <w:rPr>
          <w:rFonts w:ascii="Arial" w:hAnsi="Arial" w:cs="Arial"/>
          <w:sz w:val="24"/>
          <w:szCs w:val="24"/>
        </w:rPr>
        <w:t xml:space="preserve">zaznamenán ve všech </w:t>
      </w:r>
      <w:r>
        <w:rPr>
          <w:rFonts w:ascii="Arial" w:hAnsi="Arial" w:cs="Arial"/>
          <w:bCs/>
          <w:sz w:val="24"/>
          <w:szCs w:val="24"/>
        </w:rPr>
        <w:t>okresech, největší pokles byl v okrese Litoměřice</w:t>
      </w:r>
      <w:r>
        <w:rPr>
          <w:rFonts w:ascii="Arial" w:hAnsi="Arial" w:cs="Arial"/>
          <w:sz w:val="24"/>
          <w:szCs w:val="24"/>
        </w:rPr>
        <w:t xml:space="preserve"> (-11,4 %), nejnižší v okrese Most (-2,1 %).</w:t>
      </w:r>
    </w:p>
    <w:p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Ke konci měsíce bylo evidováno na ÚP ČR, Krajské pobočce v Ústí n. L. 20 853 žen</w:t>
      </w:r>
      <w:r>
        <w:rPr>
          <w:rFonts w:ascii="Arial" w:hAnsi="Arial" w:cs="Arial"/>
          <w:sz w:val="24"/>
          <w:szCs w:val="24"/>
        </w:rPr>
        <w:t>. Jejich podíl na celkovém počtu uchazečů činil 51,6 %. V evidenci bylo 6 248 o</w:t>
      </w:r>
      <w:r>
        <w:rPr>
          <w:rFonts w:ascii="Arial" w:hAnsi="Arial" w:cs="Arial"/>
          <w:bCs/>
          <w:sz w:val="24"/>
          <w:szCs w:val="24"/>
        </w:rPr>
        <w:t>sob</w:t>
      </w:r>
      <w:r>
        <w:rPr>
          <w:rFonts w:ascii="Arial" w:hAnsi="Arial" w:cs="Arial"/>
          <w:bCs/>
          <w:sz w:val="24"/>
          <w:szCs w:val="24"/>
        </w:rPr>
        <w:br/>
        <w:t>se zdravotním postižením</w:t>
      </w:r>
      <w:r>
        <w:rPr>
          <w:rFonts w:ascii="Arial" w:hAnsi="Arial" w:cs="Arial"/>
          <w:sz w:val="24"/>
          <w:szCs w:val="24"/>
        </w:rPr>
        <w:t>, což představovalo 15,5 % z celkového počtu nezaměstnaných.</w:t>
      </w:r>
    </w:p>
    <w:p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Ke konci tohoto měsíce bylo evidováno 1 605 absolventů škol</w:t>
      </w:r>
      <w:r>
        <w:rPr>
          <w:rFonts w:ascii="Arial" w:hAnsi="Arial" w:cs="Arial"/>
          <w:sz w:val="24"/>
          <w:szCs w:val="24"/>
        </w:rPr>
        <w:t xml:space="preserve"> všech stupňů vzdělání </w:t>
      </w:r>
      <w:r>
        <w:rPr>
          <w:rFonts w:ascii="Arial" w:hAnsi="Arial" w:cs="Arial"/>
          <w:bCs/>
          <w:sz w:val="24"/>
          <w:szCs w:val="24"/>
        </w:rPr>
        <w:t>a mladistvých</w:t>
      </w:r>
      <w:r>
        <w:rPr>
          <w:rFonts w:ascii="Arial" w:hAnsi="Arial" w:cs="Arial"/>
          <w:sz w:val="24"/>
          <w:szCs w:val="24"/>
        </w:rPr>
        <w:t xml:space="preserve">, jejich počet klesl ve srovnání s předchozím měsícem o 104 osob a ve srovnání se stejným měsícem minulého roku byl nižší o 375 osob. Na celkové nezaměstnanosti se podíleli 4,0 %. </w:t>
      </w:r>
    </w:p>
    <w:p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Podporu v nezaměstnanosti pobíralo 7 799 uchazečů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 zaměstnání</w:t>
      </w:r>
      <w:r>
        <w:rPr>
          <w:rFonts w:ascii="Arial" w:hAnsi="Arial" w:cs="Arial"/>
          <w:sz w:val="24"/>
          <w:szCs w:val="24"/>
        </w:rPr>
        <w:t xml:space="preserve">, tj. 19,3 % všech uchazečů vedených v evidenci. 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P</w:t>
      </w:r>
      <w:r>
        <w:rPr>
          <w:rFonts w:ascii="Arial" w:hAnsi="Arial" w:cs="Arial"/>
          <w:sz w:val="24"/>
          <w:szCs w:val="24"/>
        </w:rPr>
        <w:t>odíl nezaměstnaných osob, tj. počet dosažitelných uchazečů o zaměstnání ve věku</w:t>
      </w:r>
      <w:r>
        <w:rPr>
          <w:rFonts w:ascii="Arial" w:hAnsi="Arial" w:cs="Arial"/>
          <w:sz w:val="24"/>
          <w:szCs w:val="24"/>
        </w:rPr>
        <w:br/>
        <w:t xml:space="preserve">15 -64 let k obyvatelstvu stejného věku, </w:t>
      </w:r>
      <w:r>
        <w:rPr>
          <w:rFonts w:ascii="Arial" w:hAnsi="Arial" w:cs="Arial"/>
          <w:bCs/>
          <w:sz w:val="24"/>
          <w:szCs w:val="24"/>
        </w:rPr>
        <w:t>k 30. 4. 2017</w:t>
      </w:r>
      <w:r>
        <w:rPr>
          <w:rFonts w:ascii="Arial" w:hAnsi="Arial" w:cs="Arial"/>
          <w:sz w:val="24"/>
          <w:szCs w:val="24"/>
        </w:rPr>
        <w:t xml:space="preserve"> meziměsíčně </w:t>
      </w:r>
      <w:r>
        <w:rPr>
          <w:rFonts w:ascii="Arial" w:hAnsi="Arial" w:cs="Arial"/>
          <w:bCs/>
          <w:sz w:val="24"/>
          <w:szCs w:val="24"/>
        </w:rPr>
        <w:t>klesl na 7,02 %.</w:t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Podíl nezaměstnaných </w:t>
      </w:r>
      <w:r>
        <w:rPr>
          <w:rFonts w:ascii="Arial" w:hAnsi="Arial" w:cs="Arial"/>
          <w:bCs/>
          <w:sz w:val="24"/>
          <w:szCs w:val="24"/>
        </w:rPr>
        <w:t xml:space="preserve">stejný nebo vyšší než republikový průměr </w:t>
      </w:r>
      <w:r>
        <w:rPr>
          <w:rFonts w:ascii="Arial" w:hAnsi="Arial" w:cs="Arial"/>
          <w:sz w:val="24"/>
          <w:szCs w:val="24"/>
        </w:rPr>
        <w:t xml:space="preserve">vykázalo všech sedm okresů, nejvyšší byl v okresech Most (9,6 %) a Ústí nad Labem (8,2 %). </w:t>
      </w:r>
      <w:r>
        <w:rPr>
          <w:rFonts w:ascii="Arial" w:hAnsi="Arial" w:cs="Arial"/>
          <w:bCs/>
          <w:sz w:val="24"/>
          <w:szCs w:val="24"/>
        </w:rPr>
        <w:t>Nejnižší podíl nezaměstnaných</w:t>
      </w:r>
      <w:r>
        <w:rPr>
          <w:rFonts w:ascii="Arial" w:hAnsi="Arial" w:cs="Arial"/>
          <w:sz w:val="24"/>
          <w:szCs w:val="24"/>
        </w:rPr>
        <w:t xml:space="preserve"> byl zaznamenán v okresech a Litoměřice (4,9 %) a Teplice (5,6 %).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Podíl nezaměstnaných žen klesl na 7,4 % a podíl nezaměstnaných mužů klesl na 6,6 %.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Kraj evidoval k 30. 4. 2017 celkem 9 044 volných pracovních míst</w:t>
      </w:r>
      <w:r>
        <w:rPr>
          <w:rFonts w:ascii="Arial" w:hAnsi="Arial" w:cs="Arial"/>
          <w:sz w:val="24"/>
          <w:szCs w:val="24"/>
        </w:rPr>
        <w:t>. Jejich počet byl</w:t>
      </w:r>
      <w:r>
        <w:rPr>
          <w:rFonts w:ascii="Arial" w:hAnsi="Arial" w:cs="Arial"/>
          <w:sz w:val="24"/>
          <w:szCs w:val="24"/>
        </w:rPr>
        <w:br/>
        <w:t>o 593 vyšší než v předchozím měsíci a o 1 969 vyšší než ve stejném měsíci minulého roku. Na jedno volné pracovní místo připadalo v průměru 4,5 uchazeče, z toho nejvíce v okrese Ústí nad Labem (7,9), nejméně v okrese Litoměřice (2,9). Z celkového počtu nahlášených volných míst bylo 1 348 vhodných pro osoby se zdravotním postižením (OZP), na jedno volné pracovní místo připadalo 4,6 OZP. Volných pracovních míst</w:t>
      </w:r>
      <w:r>
        <w:rPr>
          <w:rFonts w:ascii="Arial" w:hAnsi="Arial" w:cs="Arial"/>
          <w:sz w:val="24"/>
          <w:szCs w:val="24"/>
        </w:rPr>
        <w:br/>
        <w:t xml:space="preserve">pro absolventy a mladistvé bylo registrováno 2 650, na jedno volné místo připadalo 0,6 uchazečů této kategorie. 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rámci aktivní politiky zaměstnanosti (APZ) bylo od počátku roku 2017 prostřednictvím příspěvků podpořeno 2 551 osob, do rekvalifikačních kurzů bylo zařazeno 429 osob.  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Nejčastěji podporovanými obory činností prostřednictvím SÚPM - SVČ byly ke konci měsíce zednické a stavební práce (truhlářství a podlahářství, přípravné a dokončovací stavební práce), velkoobchod a maloobchod, výroba textilních výrobků a oděvů, hostinská činnost, </w:t>
      </w:r>
      <w:r>
        <w:rPr>
          <w:rFonts w:ascii="Arial" w:hAnsi="Arial" w:cs="Arial"/>
          <w:sz w:val="24"/>
          <w:szCs w:val="24"/>
        </w:rPr>
        <w:t xml:space="preserve">opravy/údržba vozidel, </w:t>
      </w:r>
      <w:r>
        <w:rPr>
          <w:rFonts w:ascii="Arial" w:hAnsi="Arial" w:cs="Arial"/>
          <w:sz w:val="24"/>
          <w:szCs w:val="24"/>
        </w:rPr>
        <w:t>osobní služby (kosmetika, kadeřnictví, manikúra/pedikúra, masérství) atd.</w:t>
      </w: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Informace o vývoji nezaměstnanosti v ČR v elektronické formě jsou zveřejněny na internetové adrese </w:t>
      </w:r>
      <w:hyperlink r:id="rId11" w:history="1">
        <w:r>
          <w:rPr>
            <w:rStyle w:val="Hypertextovodkaz"/>
            <w:rFonts w:ascii="Arial" w:hAnsi="Arial" w:cs="Arial"/>
            <w:color w:val="auto"/>
            <w:sz w:val="24"/>
            <w:szCs w:val="24"/>
          </w:rPr>
          <w:t>http://portal.mpsv.cz/sz/stat</w:t>
        </w:r>
      </w:hyperlink>
      <w:r>
        <w:rPr>
          <w:rFonts w:ascii="Arial" w:hAnsi="Arial" w:cs="Arial"/>
          <w:sz w:val="24"/>
          <w:szCs w:val="24"/>
        </w:rPr>
        <w:t>.</w:t>
      </w:r>
    </w:p>
    <w:p>
      <w:pPr>
        <w:pStyle w:val="Odstavecseseznamem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b/>
          <w:i/>
          <w:lang w:eastAsia="cs-CZ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eastAsia="Times New Roman" w:hAnsi="Arial" w:cs="Arial"/>
          <w:b/>
          <w:i/>
          <w:lang w:eastAsia="cs-CZ"/>
        </w:rPr>
        <w:lastRenderedPageBreak/>
        <w:t> </w:t>
      </w:r>
      <w:r>
        <w:rPr>
          <w:rFonts w:ascii="Arial" w:eastAsia="Times New Roman" w:hAnsi="Arial" w:cs="Arial"/>
          <w:b/>
          <w:i/>
          <w:sz w:val="24"/>
          <w:lang w:eastAsia="cs-CZ"/>
        </w:rPr>
        <w:t>Základní charakteristika vývoje nezaměstnanosti a volných pracovních míst  v dubnu 2017</w:t>
      </w:r>
    </w:p>
    <w:p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Tabulka č. 1 - Vývoj nezaměstnanosti</w:t>
      </w:r>
    </w:p>
    <w:tbl>
      <w:tblPr>
        <w:tblW w:w="0" w:type="auto"/>
        <w:tblInd w:w="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1417"/>
        <w:gridCol w:w="1417"/>
        <w:gridCol w:w="1418"/>
      </w:tblGrid>
      <w:tr>
        <w:trPr>
          <w:cantSplit/>
          <w:trHeight w:val="454"/>
        </w:trPr>
        <w:tc>
          <w:tcPr>
            <w:tcW w:w="4820" w:type="dxa"/>
            <w:gridSpan w:val="2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 xml:space="preserve">Ukazatel 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Stav k</w:t>
            </w:r>
          </w:p>
        </w:tc>
      </w:tr>
      <w:tr>
        <w:trPr>
          <w:cantSplit/>
          <w:trHeight w:val="454"/>
        </w:trPr>
        <w:tc>
          <w:tcPr>
            <w:tcW w:w="4820" w:type="dxa"/>
            <w:gridSpan w:val="2"/>
            <w:vMerge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napToGrid w:val="0"/>
                <w:lang w:eastAsia="cs-CZ"/>
              </w:rPr>
              <w:t>30.4.2016</w:t>
            </w:r>
            <w:proofErr w:type="gramEnd"/>
          </w:p>
        </w:tc>
        <w:tc>
          <w:tcPr>
            <w:tcW w:w="1417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napToGrid w:val="0"/>
                <w:lang w:eastAsia="cs-CZ"/>
              </w:rPr>
              <w:t>31.3.2017</w:t>
            </w:r>
            <w:proofErr w:type="gramEnd"/>
          </w:p>
        </w:tc>
        <w:tc>
          <w:tcPr>
            <w:tcW w:w="1418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30.4.2017</w:t>
            </w:r>
            <w:proofErr w:type="gramEnd"/>
          </w:p>
        </w:tc>
      </w:tr>
      <w:tr>
        <w:trPr>
          <w:trHeight w:val="306"/>
        </w:trPr>
        <w:tc>
          <w:tcPr>
            <w:tcW w:w="482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 xml:space="preserve">evidovaní uchazeči o zaměstnání 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49 979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42 556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40 377</w:t>
            </w:r>
          </w:p>
        </w:tc>
      </w:tr>
      <w:tr>
        <w:trPr>
          <w:trHeight w:val="306"/>
        </w:trPr>
        <w:tc>
          <w:tcPr>
            <w:tcW w:w="993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 xml:space="preserve"> - z toho</w:t>
            </w:r>
          </w:p>
        </w:tc>
        <w:tc>
          <w:tcPr>
            <w:tcW w:w="3827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 xml:space="preserve"> ženy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25 371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21 744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20 853</w:t>
            </w:r>
          </w:p>
        </w:tc>
      </w:tr>
      <w:tr>
        <w:trPr>
          <w:trHeight w:val="306"/>
        </w:trPr>
        <w:tc>
          <w:tcPr>
            <w:tcW w:w="993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3827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 xml:space="preserve"> absolventi a mladiství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1 980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1 709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1 605</w:t>
            </w:r>
          </w:p>
        </w:tc>
      </w:tr>
      <w:tr>
        <w:trPr>
          <w:trHeight w:val="306"/>
        </w:trPr>
        <w:tc>
          <w:tcPr>
            <w:tcW w:w="993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3827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 xml:space="preserve"> uchazeči se zdravotním postižením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6 730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6 349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6 248</w:t>
            </w:r>
          </w:p>
        </w:tc>
      </w:tr>
      <w:tr>
        <w:trPr>
          <w:trHeight w:val="306"/>
        </w:trPr>
        <w:tc>
          <w:tcPr>
            <w:tcW w:w="482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 xml:space="preserve">uchazeči s nárokem na </w:t>
            </w:r>
            <w:proofErr w:type="spellStart"/>
            <w:r>
              <w:rPr>
                <w:rFonts w:ascii="Arial" w:eastAsia="Times New Roman" w:hAnsi="Arial" w:cs="Arial"/>
                <w:snapToGrid w:val="0"/>
                <w:lang w:eastAsia="cs-CZ"/>
              </w:rPr>
              <w:t>PvN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8 558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8 770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7 799</w:t>
            </w:r>
          </w:p>
        </w:tc>
      </w:tr>
      <w:tr>
        <w:trPr>
          <w:trHeight w:val="306"/>
        </w:trPr>
        <w:tc>
          <w:tcPr>
            <w:tcW w:w="482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podíl nezaměstnaných osob (v %)</w:t>
            </w:r>
            <w:r>
              <w:rPr>
                <w:rFonts w:ascii="Arial" w:eastAsia="Times New Roman" w:hAnsi="Arial" w:cs="Arial"/>
                <w:snapToGrid w:val="0"/>
                <w:vertAlign w:val="superscript"/>
                <w:lang w:eastAsia="cs-CZ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8,79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7,38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7,02</w:t>
            </w:r>
          </w:p>
        </w:tc>
      </w:tr>
      <w:tr>
        <w:trPr>
          <w:trHeight w:val="306"/>
        </w:trPr>
        <w:tc>
          <w:tcPr>
            <w:tcW w:w="482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volná pracovní místa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7 075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8 451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9 044</w:t>
            </w:r>
          </w:p>
        </w:tc>
      </w:tr>
      <w:tr>
        <w:trPr>
          <w:trHeight w:val="306"/>
        </w:trPr>
        <w:tc>
          <w:tcPr>
            <w:tcW w:w="482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počet uchazečů na 1 volné pracovní místo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7,06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5,04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4,46</w:t>
            </w:r>
          </w:p>
        </w:tc>
      </w:tr>
    </w:tbl>
    <w:p>
      <w:pPr>
        <w:widowControl w:val="0"/>
        <w:autoSpaceDE w:val="0"/>
        <w:autoSpaceDN w:val="0"/>
        <w:spacing w:after="0" w:line="240" w:lineRule="auto"/>
        <w:ind w:left="284" w:hanging="28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vertAlign w:val="superscript"/>
          <w:lang w:eastAsia="cs-CZ"/>
        </w:rPr>
        <w:t>1)</w:t>
      </w:r>
      <w:r>
        <w:rPr>
          <w:rFonts w:ascii="Arial" w:eastAsia="Times New Roman" w:hAnsi="Arial" w:cs="Arial"/>
          <w:lang w:eastAsia="cs-CZ"/>
        </w:rPr>
        <w:t xml:space="preserve"> od ledna 2013 nový ukazatel registrované nezaměstnanosti</w:t>
      </w:r>
    </w:p>
    <w:p>
      <w:pPr>
        <w:widowControl w:val="0"/>
        <w:autoSpaceDE w:val="0"/>
        <w:autoSpaceDN w:val="0"/>
        <w:spacing w:after="0" w:line="360" w:lineRule="auto"/>
        <w:ind w:left="175" w:hanging="18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Tabulka č. 2 - Tok nezaměstnanosti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32"/>
        <w:gridCol w:w="1407"/>
        <w:gridCol w:w="1407"/>
        <w:gridCol w:w="1408"/>
      </w:tblGrid>
      <w:tr>
        <w:trPr>
          <w:cantSplit/>
          <w:trHeight w:val="454"/>
        </w:trPr>
        <w:tc>
          <w:tcPr>
            <w:tcW w:w="4932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Ukazatel</w:t>
            </w:r>
          </w:p>
        </w:tc>
        <w:tc>
          <w:tcPr>
            <w:tcW w:w="4222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Počet uchazečů ve sledovaném měsíci</w:t>
            </w:r>
          </w:p>
        </w:tc>
      </w:tr>
      <w:tr>
        <w:trPr>
          <w:cantSplit/>
          <w:trHeight w:val="558"/>
        </w:trPr>
        <w:tc>
          <w:tcPr>
            <w:tcW w:w="4932" w:type="dxa"/>
            <w:vMerge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1407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Duben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2016</w:t>
            </w:r>
          </w:p>
        </w:tc>
        <w:tc>
          <w:tcPr>
            <w:tcW w:w="1407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Březen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2017</w:t>
            </w:r>
          </w:p>
        </w:tc>
        <w:tc>
          <w:tcPr>
            <w:tcW w:w="1408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Duben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2017</w:t>
            </w:r>
          </w:p>
        </w:tc>
      </w:tr>
      <w:tr>
        <w:trPr>
          <w:trHeight w:val="306"/>
        </w:trPr>
        <w:tc>
          <w:tcPr>
            <w:tcW w:w="493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 xml:space="preserve">nově evidovaní uchazeči o zaměstnání </w:t>
            </w:r>
          </w:p>
        </w:tc>
        <w:tc>
          <w:tcPr>
            <w:tcW w:w="1407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4 846</w:t>
            </w:r>
          </w:p>
        </w:tc>
        <w:tc>
          <w:tcPr>
            <w:tcW w:w="1407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4 484</w:t>
            </w:r>
          </w:p>
        </w:tc>
        <w:tc>
          <w:tcPr>
            <w:tcW w:w="1408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3 800</w:t>
            </w:r>
          </w:p>
        </w:tc>
      </w:tr>
      <w:tr>
        <w:trPr>
          <w:trHeight w:val="306"/>
        </w:trPr>
        <w:tc>
          <w:tcPr>
            <w:tcW w:w="493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 xml:space="preserve">uchazeči s ukončenou evidencí a vyřazení </w:t>
            </w:r>
          </w:p>
        </w:tc>
        <w:tc>
          <w:tcPr>
            <w:tcW w:w="1407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6 104</w:t>
            </w:r>
          </w:p>
        </w:tc>
        <w:tc>
          <w:tcPr>
            <w:tcW w:w="1407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6 552</w:t>
            </w:r>
          </w:p>
        </w:tc>
        <w:tc>
          <w:tcPr>
            <w:tcW w:w="1408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5 979</w:t>
            </w:r>
          </w:p>
        </w:tc>
      </w:tr>
      <w:tr>
        <w:trPr>
          <w:trHeight w:val="306"/>
        </w:trPr>
        <w:tc>
          <w:tcPr>
            <w:tcW w:w="493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 xml:space="preserve"> - z toho umístění celkem</w:t>
            </w:r>
          </w:p>
        </w:tc>
        <w:tc>
          <w:tcPr>
            <w:tcW w:w="1407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4 196</w:t>
            </w:r>
          </w:p>
        </w:tc>
        <w:tc>
          <w:tcPr>
            <w:tcW w:w="1407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4 299</w:t>
            </w:r>
          </w:p>
        </w:tc>
        <w:tc>
          <w:tcPr>
            <w:tcW w:w="1408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4 075</w:t>
            </w:r>
          </w:p>
        </w:tc>
      </w:tr>
      <w:tr>
        <w:trPr>
          <w:trHeight w:val="306"/>
        </w:trPr>
        <w:tc>
          <w:tcPr>
            <w:tcW w:w="493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 xml:space="preserve"> - z toho umístění úřadem práce</w:t>
            </w:r>
          </w:p>
        </w:tc>
        <w:tc>
          <w:tcPr>
            <w:tcW w:w="1407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1 244</w:t>
            </w:r>
          </w:p>
        </w:tc>
        <w:tc>
          <w:tcPr>
            <w:tcW w:w="1407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1 305</w:t>
            </w:r>
          </w:p>
        </w:tc>
        <w:tc>
          <w:tcPr>
            <w:tcW w:w="1408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1 260</w:t>
            </w:r>
          </w:p>
        </w:tc>
      </w:tr>
    </w:tbl>
    <w:p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Tabulka č. 3. - Nezaměstnanost v okresech k 30. 4. 2017</w:t>
      </w:r>
    </w:p>
    <w:tbl>
      <w:tblPr>
        <w:tblW w:w="9157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459"/>
        <w:gridCol w:w="1460"/>
        <w:gridCol w:w="1460"/>
        <w:gridCol w:w="1460"/>
        <w:gridCol w:w="1460"/>
      </w:tblGrid>
      <w:tr>
        <w:trPr>
          <w:trHeight w:val="454"/>
        </w:trPr>
        <w:tc>
          <w:tcPr>
            <w:tcW w:w="1858" w:type="dxa"/>
            <w:vMerge w:val="restart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Okres</w:t>
            </w:r>
          </w:p>
        </w:tc>
        <w:tc>
          <w:tcPr>
            <w:tcW w:w="2919" w:type="dxa"/>
            <w:gridSpan w:val="2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Počet nezaměstnaných</w:t>
            </w:r>
          </w:p>
        </w:tc>
        <w:tc>
          <w:tcPr>
            <w:tcW w:w="1460" w:type="dxa"/>
            <w:vMerge w:val="restart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Volná pracovní místa</w:t>
            </w:r>
          </w:p>
        </w:tc>
        <w:tc>
          <w:tcPr>
            <w:tcW w:w="1460" w:type="dxa"/>
            <w:vMerge w:val="restart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Počet uchazečů</w:t>
            </w: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na 1 VPM</w:t>
            </w:r>
          </w:p>
        </w:tc>
        <w:tc>
          <w:tcPr>
            <w:tcW w:w="1460" w:type="dxa"/>
            <w:vMerge w:val="restart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Podíl </w:t>
            </w:r>
            <w:proofErr w:type="spellStart"/>
            <w:r>
              <w:rPr>
                <w:rFonts w:ascii="Arial" w:eastAsia="Times New Roman" w:hAnsi="Arial" w:cs="Arial"/>
                <w:lang w:eastAsia="cs-CZ"/>
              </w:rPr>
              <w:t>nezaměst</w:t>
            </w:r>
            <w:proofErr w:type="spellEnd"/>
            <w:r>
              <w:rPr>
                <w:rFonts w:ascii="Arial" w:eastAsia="Times New Roman" w:hAnsi="Arial" w:cs="Arial"/>
                <w:lang w:eastAsia="cs-CZ"/>
              </w:rPr>
              <w:t>. osob (v %)</w:t>
            </w:r>
          </w:p>
        </w:tc>
      </w:tr>
      <w:tr>
        <w:trPr>
          <w:trHeight w:val="454"/>
        </w:trPr>
        <w:tc>
          <w:tcPr>
            <w:tcW w:w="1858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59" w:type="dxa"/>
            <w:vMerge w:val="restart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Celkem</w:t>
            </w:r>
          </w:p>
        </w:tc>
        <w:tc>
          <w:tcPr>
            <w:tcW w:w="1460" w:type="dxa"/>
            <w:vMerge w:val="restart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z toho ženy</w:t>
            </w:r>
          </w:p>
        </w:tc>
        <w:tc>
          <w:tcPr>
            <w:tcW w:w="1460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>
        <w:trPr>
          <w:trHeight w:val="313"/>
        </w:trPr>
        <w:tc>
          <w:tcPr>
            <w:tcW w:w="1858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59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>
        <w:trPr>
          <w:trHeight w:val="306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Děčín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6 288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087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217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7,03</w:t>
            </w:r>
          </w:p>
        </w:tc>
      </w:tr>
      <w:tr>
        <w:trPr>
          <w:trHeight w:val="306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Chomutov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6 493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238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7,31</w:t>
            </w:r>
          </w:p>
        </w:tc>
      </w:tr>
      <w:tr>
        <w:trPr>
          <w:trHeight w:val="306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Litoměřice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4 104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181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4,94</w:t>
            </w:r>
          </w:p>
        </w:tc>
      </w:tr>
      <w:tr>
        <w:trPr>
          <w:trHeight w:val="306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Louny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4 104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125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288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6,42</w:t>
            </w:r>
          </w:p>
        </w:tc>
      </w:tr>
      <w:tr>
        <w:trPr>
          <w:trHeight w:val="306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Most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7 256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884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9,59</w:t>
            </w:r>
          </w:p>
        </w:tc>
      </w:tr>
      <w:tr>
        <w:trPr>
          <w:trHeight w:val="306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Teplice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5 355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852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625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5,65</w:t>
            </w:r>
          </w:p>
        </w:tc>
      </w:tr>
      <w:tr>
        <w:trPr>
          <w:trHeight w:val="306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Ústí nad Labem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6 777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220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8,22</w:t>
            </w:r>
          </w:p>
        </w:tc>
      </w:tr>
      <w:tr>
        <w:trPr>
          <w:trHeight w:val="306"/>
        </w:trPr>
        <w:tc>
          <w:tcPr>
            <w:tcW w:w="1858" w:type="dxa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Ústecký kraj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40 377</w:t>
            </w:r>
          </w:p>
        </w:tc>
        <w:tc>
          <w:tcPr>
            <w:tcW w:w="1460" w:type="dxa"/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853</w:t>
            </w:r>
          </w:p>
        </w:tc>
        <w:tc>
          <w:tcPr>
            <w:tcW w:w="1460" w:type="dxa"/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044</w:t>
            </w:r>
          </w:p>
        </w:tc>
        <w:tc>
          <w:tcPr>
            <w:tcW w:w="1460" w:type="dxa"/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4,46</w:t>
            </w:r>
          </w:p>
        </w:tc>
        <w:tc>
          <w:tcPr>
            <w:tcW w:w="1460" w:type="dxa"/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7,02</w:t>
            </w:r>
          </w:p>
        </w:tc>
      </w:tr>
      <w:tr>
        <w:trPr>
          <w:trHeight w:val="306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Česká republika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327 199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167 664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159 075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2,06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4,39</w:t>
            </w:r>
          </w:p>
        </w:tc>
      </w:tr>
    </w:tbl>
    <w:p>
      <w:pPr>
        <w:pStyle w:val="Odstavecseseznamem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cs-CZ"/>
        </w:rPr>
        <w:lastRenderedPageBreak/>
        <w:t>Nástroje aktivní politiky zaměstnanosti v dubnu 2017</w:t>
      </w:r>
    </w:p>
    <w:p>
      <w:pPr>
        <w:widowControl w:val="0"/>
        <w:autoSpaceDE w:val="0"/>
        <w:autoSpaceDN w:val="0"/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</w:p>
    <w:p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Tabulka č. 4 - Osoby podpořené v rámci APZ a rekvalifikace uchazečů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>a zájemců o zaměstnání</w:t>
      </w:r>
    </w:p>
    <w:tbl>
      <w:tblPr>
        <w:tblW w:w="9654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9"/>
        <w:gridCol w:w="1278"/>
        <w:gridCol w:w="1276"/>
        <w:gridCol w:w="1276"/>
        <w:gridCol w:w="1275"/>
      </w:tblGrid>
      <w:tr>
        <w:trPr>
          <w:trHeight w:val="759"/>
        </w:trPr>
        <w:tc>
          <w:tcPr>
            <w:tcW w:w="4549" w:type="dxa"/>
            <w:vMerge w:val="restar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Ukazatel (celkový počet)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Stav k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Celkem od počátku roku </w:t>
            </w:r>
            <w:proofErr w:type="gramStart"/>
            <w:r>
              <w:rPr>
                <w:rFonts w:ascii="Arial" w:eastAsia="Times New Roman" w:hAnsi="Arial" w:cs="Arial"/>
                <w:lang w:eastAsia="cs-CZ"/>
              </w:rPr>
              <w:t>do</w:t>
            </w:r>
            <w:proofErr w:type="gramEnd"/>
          </w:p>
        </w:tc>
      </w:tr>
      <w:tr>
        <w:trPr>
          <w:trHeight w:val="364"/>
        </w:trPr>
        <w:tc>
          <w:tcPr>
            <w:tcW w:w="4549" w:type="dxa"/>
            <w:vMerge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8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lang w:eastAsia="cs-CZ"/>
              </w:rPr>
              <w:t>30.4.2016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lang w:eastAsia="cs-CZ"/>
              </w:rPr>
              <w:t>30.4.2017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lang w:eastAsia="cs-CZ"/>
              </w:rPr>
              <w:t>30.4.2016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lang w:eastAsia="cs-CZ"/>
              </w:rPr>
              <w:t>30.4.2017</w:t>
            </w:r>
            <w:proofErr w:type="gramEnd"/>
          </w:p>
        </w:tc>
      </w:tr>
      <w:tr>
        <w:trPr>
          <w:trHeight w:val="303"/>
        </w:trPr>
        <w:tc>
          <w:tcPr>
            <w:tcW w:w="9654" w:type="dxa"/>
            <w:gridSpan w:val="5"/>
            <w:shd w:val="pct12" w:color="000000" w:fill="D9D9D9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osoby podpořené v rámci APZ</w:t>
            </w:r>
          </w:p>
        </w:tc>
      </w:tr>
      <w:tr>
        <w:trPr>
          <w:trHeight w:val="306"/>
        </w:trPr>
        <w:tc>
          <w:tcPr>
            <w:tcW w:w="4549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veřejně prospěšné práce (VPP)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1 384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918</w:t>
            </w:r>
          </w:p>
        </w:tc>
      </w:tr>
      <w:tr>
        <w:trPr>
          <w:trHeight w:val="306"/>
        </w:trPr>
        <w:tc>
          <w:tcPr>
            <w:tcW w:w="4549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veřejně prospěšné práce (VPP) - ESF</w:t>
            </w:r>
            <w:r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</w:t>
            </w:r>
          </w:p>
        </w:tc>
      </w:tr>
      <w:tr>
        <w:trPr>
          <w:trHeight w:val="306"/>
        </w:trPr>
        <w:tc>
          <w:tcPr>
            <w:tcW w:w="4549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společensky účelná pracovní místa (SÚPM)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</w:tr>
      <w:tr>
        <w:trPr>
          <w:trHeight w:val="77"/>
        </w:trPr>
        <w:tc>
          <w:tcPr>
            <w:tcW w:w="4549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společensky účelná pracovní místa (SÚPM) - ESF</w:t>
            </w:r>
            <w:r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3 889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1 626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</w:t>
            </w:r>
          </w:p>
        </w:tc>
      </w:tr>
      <w:tr>
        <w:trPr>
          <w:trHeight w:val="116"/>
        </w:trPr>
        <w:tc>
          <w:tcPr>
            <w:tcW w:w="4549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SÚPM - samostatně výdělečná činnost (SVČ)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>
        <w:trPr>
          <w:trHeight w:val="151"/>
        </w:trPr>
        <w:tc>
          <w:tcPr>
            <w:tcW w:w="4549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SÚPM - samostatně výdělečná činnost (SVČ) - ESF</w:t>
            </w:r>
            <w:r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>
        <w:trPr>
          <w:trHeight w:val="303"/>
        </w:trPr>
        <w:tc>
          <w:tcPr>
            <w:tcW w:w="4549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chráněná pracovní místa - zřízená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</w:tr>
      <w:tr>
        <w:trPr>
          <w:trHeight w:val="303"/>
        </w:trPr>
        <w:tc>
          <w:tcPr>
            <w:tcW w:w="4549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chráněná pracovní místa - SVČ osob se ZP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>
        <w:trPr>
          <w:trHeight w:val="303"/>
        </w:trPr>
        <w:tc>
          <w:tcPr>
            <w:tcW w:w="4549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ostatní nástroje APZ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</w:t>
            </w:r>
          </w:p>
        </w:tc>
      </w:tr>
      <w:tr>
        <w:trPr>
          <w:trHeight w:val="303"/>
        </w:trPr>
        <w:tc>
          <w:tcPr>
            <w:tcW w:w="9654" w:type="dxa"/>
            <w:gridSpan w:val="5"/>
            <w:shd w:val="pct12" w:color="000000" w:fill="D9D9D9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rekvalifikace uchazečů a zájemců o zaměstnání</w:t>
            </w:r>
          </w:p>
        </w:tc>
      </w:tr>
      <w:tr>
        <w:trPr>
          <w:trHeight w:val="220"/>
        </w:trPr>
        <w:tc>
          <w:tcPr>
            <w:tcW w:w="4549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uchazeči a zájemci zařazení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do rekvalifikací 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>
        <w:trPr>
          <w:trHeight w:val="128"/>
        </w:trPr>
        <w:tc>
          <w:tcPr>
            <w:tcW w:w="4549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uchazeči a zájemci zařazení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rekvalifikací - ESF</w:t>
            </w:r>
            <w:r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>
        <w:trPr>
          <w:trHeight w:val="332"/>
        </w:trPr>
        <w:tc>
          <w:tcPr>
            <w:tcW w:w="4549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uchazeči a zájemci, kteří zahájili zvolenou rekvalifikaci 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>
        <w:trPr>
          <w:trHeight w:val="99"/>
        </w:trPr>
        <w:tc>
          <w:tcPr>
            <w:tcW w:w="4549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uchazeči a zájemci, kteří zahájili zvolenou rekvalifikaci  - ESF</w:t>
            </w:r>
            <w:r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</w:t>
            </w:r>
          </w:p>
        </w:tc>
      </w:tr>
      <w:tr>
        <w:trPr>
          <w:trHeight w:val="303"/>
        </w:trPr>
        <w:tc>
          <w:tcPr>
            <w:tcW w:w="4549" w:type="dxa"/>
            <w:shd w:val="clear" w:color="000000" w:fill="BFBFBF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Osoby podpořené v rámci APZ celkem</w:t>
            </w:r>
          </w:p>
        </w:tc>
        <w:tc>
          <w:tcPr>
            <w:tcW w:w="1278" w:type="dxa"/>
            <w:shd w:val="clear" w:color="000000" w:fill="BFBFB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7 542</w:t>
            </w:r>
          </w:p>
        </w:tc>
        <w:tc>
          <w:tcPr>
            <w:tcW w:w="1276" w:type="dxa"/>
            <w:shd w:val="clear" w:color="000000" w:fill="BFBFB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4 616</w:t>
            </w:r>
          </w:p>
        </w:tc>
        <w:tc>
          <w:tcPr>
            <w:tcW w:w="1276" w:type="dxa"/>
            <w:shd w:val="clear" w:color="000000" w:fill="BFBFB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3 188</w:t>
            </w:r>
          </w:p>
        </w:tc>
        <w:tc>
          <w:tcPr>
            <w:tcW w:w="1275" w:type="dxa"/>
            <w:shd w:val="clear" w:color="000000" w:fill="BFBFB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2 980</w:t>
            </w:r>
          </w:p>
        </w:tc>
      </w:tr>
    </w:tbl>
    <w:p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vertAlign w:val="superscript"/>
          <w:lang w:eastAsia="cs-CZ"/>
        </w:rPr>
        <w:t xml:space="preserve">1) </w:t>
      </w:r>
      <w:r>
        <w:rPr>
          <w:rFonts w:ascii="Arial" w:eastAsia="Times New Roman" w:hAnsi="Arial" w:cs="Arial"/>
          <w:lang w:eastAsia="cs-CZ"/>
        </w:rPr>
        <w:t>financováno převážně z Evropského sociálního fondu</w:t>
      </w:r>
    </w:p>
    <w:p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Podrobnější statistické údaje o nástrojích aktivní politiky zaměstnanosti naleznete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na stránkách Integrovaného portálu MPSV, v měsíčních statistikách nezaměstnanosti </w:t>
      </w:r>
      <w:hyperlink r:id="rId12" w:history="1">
        <w:r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http://portal.mpsv.cz/sz/stat/nz/mes</w:t>
        </w:r>
      </w:hyperlink>
      <w:r>
        <w:rPr>
          <w:rStyle w:val="Hypertextovodkaz"/>
          <w:rFonts w:ascii="Arial" w:eastAsia="Times New Roman" w:hAnsi="Arial" w:cs="Arial"/>
          <w:color w:val="auto"/>
          <w:sz w:val="24"/>
          <w:szCs w:val="24"/>
          <w:u w:val="none"/>
          <w:lang w:eastAsia="cs-CZ"/>
        </w:rPr>
        <w:t>.</w:t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ind w:left="360" w:hanging="360"/>
        <w:contextualSpacing/>
      </w:pP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ind w:left="360" w:hanging="360"/>
        <w:contextualSpacing/>
      </w:pP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ind w:left="360" w:hanging="360"/>
        <w:contextualSpacing/>
      </w:pP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ind w:left="360" w:hanging="360"/>
        <w:contextualSpacing/>
      </w:pP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ind w:left="360" w:hanging="360"/>
        <w:contextualSpacing/>
      </w:pP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ind w:left="360" w:hanging="360"/>
        <w:contextualSpacing/>
      </w:pPr>
    </w:p>
    <w:p>
      <w:pPr>
        <w:pStyle w:val="Odstavecseseznamem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outlineLvl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cs-CZ"/>
        </w:rPr>
        <w:lastRenderedPageBreak/>
        <w:t xml:space="preserve">MAPA 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-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cs-CZ"/>
        </w:rPr>
        <w:t>ArcView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- Podíl nezaměstnaných v okresech kraje (mapa kraje)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ab/>
      </w:r>
    </w:p>
    <w:p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drawing>
          <wp:inline distT="0" distB="0" distL="0" distR="0">
            <wp:extent cx="6229865" cy="571500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114" cy="571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>
      <w:pPr>
        <w:pStyle w:val="Odstavecseseznamem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cs-CZ"/>
        </w:rPr>
        <w:lastRenderedPageBreak/>
        <w:t>GRAFY</w:t>
      </w:r>
    </w:p>
    <w:p>
      <w:pPr>
        <w:widowControl w:val="0"/>
        <w:autoSpaceDE w:val="0"/>
        <w:autoSpaceDN w:val="0"/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</w:p>
    <w:p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contextualSpacing/>
        <w:rPr>
          <w:b/>
        </w:rPr>
      </w:pPr>
      <w:r>
        <w:rPr>
          <w:b/>
        </w:rPr>
        <w:t>Podíl nezaměstnaných osob v okresech Ústeckého kraje a v ČR k 30. 4. 2017</w:t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contextualSpacing/>
        <w:jc w:val="center"/>
      </w:pPr>
      <w:r>
        <w:rPr>
          <w:noProof/>
        </w:rPr>
        <w:drawing>
          <wp:inline distT="0" distB="0" distL="0" distR="0">
            <wp:extent cx="5986780" cy="3444240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contextualSpacing/>
        <w:rPr>
          <w:b/>
        </w:rPr>
      </w:pPr>
    </w:p>
    <w:p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contextualSpacing/>
        <w:rPr>
          <w:b/>
        </w:rPr>
      </w:pPr>
      <w:r>
        <w:rPr>
          <w:b/>
        </w:rPr>
        <w:t>Vývoj podílu nezaměstnaných v Ústeckém kraji v letech 2015 - 2017 (v %)</w:t>
      </w:r>
    </w:p>
    <w:p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5986780" cy="343852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3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contextualSpacing/>
      </w:pPr>
      <w:r>
        <w:rPr>
          <w:b/>
        </w:rPr>
        <w:t>Vývoj počtu uchazečů a VPM v Ústeckém kraji v letech 2015 - 2017</w:t>
      </w:r>
      <w:r>
        <w:t xml:space="preserve"> </w:t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contextualSpacing/>
        <w:jc w:val="center"/>
      </w:pPr>
      <w:r>
        <w:rPr>
          <w:noProof/>
        </w:rPr>
        <w:drawing>
          <wp:inline distT="0" distB="0" distL="0" distR="0">
            <wp:extent cx="5986780" cy="3444240"/>
            <wp:effectExtent l="0" t="0" r="0" b="381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contextualSpacing/>
      </w:pPr>
      <w:r>
        <w:t xml:space="preserve"> </w:t>
      </w:r>
    </w:p>
    <w:p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contextualSpacing/>
        <w:rPr>
          <w:noProof/>
        </w:rPr>
      </w:pPr>
      <w:r>
        <w:rPr>
          <w:b/>
        </w:rPr>
        <w:t>Podíl nezaměstnaných osob v jednotlivých krajích ČR k 30. 4. 2017 (v %)</w:t>
      </w:r>
      <w:r>
        <w:rPr>
          <w:noProof/>
        </w:rPr>
        <w:t xml:space="preserve"> </w:t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contextualSpacing/>
        <w:jc w:val="center"/>
      </w:pPr>
      <w:r>
        <w:rPr>
          <w:noProof/>
        </w:rPr>
        <w:drawing>
          <wp:inline distT="0" distB="0" distL="0" distR="0">
            <wp:extent cx="5974715" cy="3444240"/>
            <wp:effectExtent l="0" t="0" r="6985" b="381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Odstavecseseznamem"/>
        <w:numPr>
          <w:ilvl w:val="0"/>
          <w:numId w:val="8"/>
        </w:num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i/>
          <w:sz w:val="24"/>
          <w:szCs w:val="24"/>
        </w:rPr>
        <w:lastRenderedPageBreak/>
        <w:t xml:space="preserve"> Setřídění okresů k 30. 4. 2017 </w:t>
      </w:r>
      <w:r>
        <w:drawing>
          <wp:inline distT="0" distB="0" distL="0" distR="0">
            <wp:extent cx="6120130" cy="8130261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3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headerReference w:type="default" r:id="rId19"/>
      <w:footerReference w:type="default" r:id="rId20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  <w:p/>
  </w:endnote>
  <w:endnote w:type="continuationSeparator" w:id="0">
    <w:p>
      <w:pPr>
        <w:spacing w:after="0" w:line="240" w:lineRule="auto"/>
      </w:pPr>
      <w:r>
        <w:continuationSeparator/>
      </w: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 obye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8117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>PAGE   \* MERGEFORMAT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>
    <w:pPr>
      <w:pStyle w:val="Zpat"/>
    </w:pP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  <w:p/>
  </w:footnote>
  <w:footnote w:type="continuationSeparator" w:id="0">
    <w:p>
      <w:pPr>
        <w:spacing w:after="0" w:line="240" w:lineRule="auto"/>
      </w:pPr>
      <w:r>
        <w:continuationSeparator/>
      </w:r>
    </w:p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rPr>
        <w:color w:val="FF0000"/>
      </w:rPr>
    </w:pPr>
    <w:r>
      <w:t>Příloha č. 1 ke Směrnici č. 21/2013</w:t>
    </w:r>
    <w:r>
      <w:rPr>
        <w:color w:val="FF0000"/>
      </w:rPr>
      <w:t xml:space="preserve"> </w:t>
    </w:r>
  </w:p>
  <w:p>
    <w:pPr>
      <w:pStyle w:val="Zhlav"/>
    </w:pP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089"/>
    <w:multiLevelType w:val="hybridMultilevel"/>
    <w:tmpl w:val="0F5A6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836AA"/>
    <w:multiLevelType w:val="hybridMultilevel"/>
    <w:tmpl w:val="CFD25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2341F"/>
    <w:multiLevelType w:val="hybridMultilevel"/>
    <w:tmpl w:val="A886B5E8"/>
    <w:lvl w:ilvl="0" w:tplc="00AC0638">
      <w:start w:val="1"/>
      <w:numFmt w:val="decimal"/>
      <w:lvlText w:val="%1."/>
      <w:lvlJc w:val="left"/>
      <w:pPr>
        <w:ind w:left="720" w:hanging="360"/>
      </w:pPr>
      <w:rPr>
        <w:rFonts w:ascii="Helvetica" w:hAnsi="Helvetica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A0772"/>
    <w:multiLevelType w:val="hybridMultilevel"/>
    <w:tmpl w:val="3B8239DA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7F04BA"/>
    <w:multiLevelType w:val="hybridMultilevel"/>
    <w:tmpl w:val="AAA04C8A"/>
    <w:lvl w:ilvl="0" w:tplc="C3FAEB20">
      <w:start w:val="1"/>
      <w:numFmt w:val="decimal"/>
      <w:lvlText w:val="%1)"/>
      <w:lvlJc w:val="left"/>
      <w:pPr>
        <w:ind w:left="3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6" w:hanging="360"/>
      </w:pPr>
    </w:lvl>
    <w:lvl w:ilvl="2" w:tplc="0405001B" w:tentative="1">
      <w:start w:val="1"/>
      <w:numFmt w:val="lowerRoman"/>
      <w:lvlText w:val="%3."/>
      <w:lvlJc w:val="right"/>
      <w:pPr>
        <w:ind w:left="1796" w:hanging="180"/>
      </w:pPr>
    </w:lvl>
    <w:lvl w:ilvl="3" w:tplc="0405000F" w:tentative="1">
      <w:start w:val="1"/>
      <w:numFmt w:val="decimal"/>
      <w:lvlText w:val="%4."/>
      <w:lvlJc w:val="left"/>
      <w:pPr>
        <w:ind w:left="2516" w:hanging="360"/>
      </w:pPr>
    </w:lvl>
    <w:lvl w:ilvl="4" w:tplc="04050019" w:tentative="1">
      <w:start w:val="1"/>
      <w:numFmt w:val="lowerLetter"/>
      <w:lvlText w:val="%5."/>
      <w:lvlJc w:val="left"/>
      <w:pPr>
        <w:ind w:left="3236" w:hanging="360"/>
      </w:pPr>
    </w:lvl>
    <w:lvl w:ilvl="5" w:tplc="0405001B" w:tentative="1">
      <w:start w:val="1"/>
      <w:numFmt w:val="lowerRoman"/>
      <w:lvlText w:val="%6."/>
      <w:lvlJc w:val="right"/>
      <w:pPr>
        <w:ind w:left="3956" w:hanging="180"/>
      </w:pPr>
    </w:lvl>
    <w:lvl w:ilvl="6" w:tplc="0405000F" w:tentative="1">
      <w:start w:val="1"/>
      <w:numFmt w:val="decimal"/>
      <w:lvlText w:val="%7."/>
      <w:lvlJc w:val="left"/>
      <w:pPr>
        <w:ind w:left="4676" w:hanging="360"/>
      </w:pPr>
    </w:lvl>
    <w:lvl w:ilvl="7" w:tplc="04050019" w:tentative="1">
      <w:start w:val="1"/>
      <w:numFmt w:val="lowerLetter"/>
      <w:lvlText w:val="%8."/>
      <w:lvlJc w:val="left"/>
      <w:pPr>
        <w:ind w:left="5396" w:hanging="360"/>
      </w:pPr>
    </w:lvl>
    <w:lvl w:ilvl="8" w:tplc="040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5">
    <w:nsid w:val="3C455AD2"/>
    <w:multiLevelType w:val="hybridMultilevel"/>
    <w:tmpl w:val="B5CCC0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11950"/>
    <w:multiLevelType w:val="hybridMultilevel"/>
    <w:tmpl w:val="861A0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E3635"/>
    <w:multiLevelType w:val="hybridMultilevel"/>
    <w:tmpl w:val="8B3A9A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B7795"/>
    <w:multiLevelType w:val="hybridMultilevel"/>
    <w:tmpl w:val="3F9A56CA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A2A94"/>
    <w:multiLevelType w:val="hybridMultilevel"/>
    <w:tmpl w:val="99A4D206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55B95"/>
    <w:multiLevelType w:val="hybridMultilevel"/>
    <w:tmpl w:val="BD60B74A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B61D9"/>
    <w:multiLevelType w:val="hybridMultilevel"/>
    <w:tmpl w:val="95DECA1E"/>
    <w:lvl w:ilvl="0" w:tplc="605AD09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72AB4FB6"/>
    <w:multiLevelType w:val="hybridMultilevel"/>
    <w:tmpl w:val="2F486DEA"/>
    <w:lvl w:ilvl="0" w:tplc="53B6C2D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53CAA"/>
    <w:multiLevelType w:val="hybridMultilevel"/>
    <w:tmpl w:val="7BAE4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11"/>
  </w:num>
  <w:num w:numId="9">
    <w:abstractNumId w:val="3"/>
  </w:num>
  <w:num w:numId="10">
    <w:abstractNumId w:val="10"/>
  </w:num>
  <w:num w:numId="11">
    <w:abstractNumId w:val="7"/>
  </w:num>
  <w:num w:numId="12">
    <w:abstractNumId w:val="8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pPr>
      <w:widowControl w:val="0"/>
      <w:autoSpaceDE w:val="0"/>
      <w:autoSpaceDN w:val="0"/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Pr>
      <w:rFonts w:ascii="Times New Roman" w:hAnsi="Times New Roman" w:cs="Times New Roman"/>
      <w:vertAlign w:val="superscript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customStyle="1" w:styleId="xl71">
    <w:name w:val="xl71"/>
    <w:basedOn w:val="Normln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0"/>
      <w:szCs w:val="20"/>
      <w:lang w:eastAsia="cs-CZ"/>
    </w:rPr>
  </w:style>
  <w:style w:type="paragraph" w:customStyle="1" w:styleId="xl72">
    <w:name w:val="xl72"/>
    <w:basedOn w:val="Normln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5">
    <w:name w:val="xl75"/>
    <w:basedOn w:val="Normln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6">
    <w:name w:val="xl76"/>
    <w:basedOn w:val="Normln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7">
    <w:name w:val="xl77"/>
    <w:basedOn w:val="Normln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8">
    <w:name w:val="xl78"/>
    <w:basedOn w:val="Normln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paragraph" w:customStyle="1" w:styleId="xl81">
    <w:name w:val="xl81"/>
    <w:basedOn w:val="Normln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0"/>
      <w:szCs w:val="20"/>
      <w:lang w:eastAsia="cs-CZ"/>
    </w:rPr>
  </w:style>
  <w:style w:type="paragraph" w:customStyle="1" w:styleId="xl82">
    <w:name w:val="xl82"/>
    <w:basedOn w:val="Normln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3">
    <w:name w:val="xl83"/>
    <w:basedOn w:val="Normln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4">
    <w:name w:val="xl84"/>
    <w:basedOn w:val="Normln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85">
    <w:name w:val="xl85"/>
    <w:basedOn w:val="Normln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6">
    <w:name w:val="xl86"/>
    <w:basedOn w:val="Normln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7">
    <w:name w:val="xl87"/>
    <w:basedOn w:val="Normln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8">
    <w:name w:val="xl88"/>
    <w:basedOn w:val="Normln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9">
    <w:name w:val="xl89"/>
    <w:basedOn w:val="Normln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0">
    <w:name w:val="xl90"/>
    <w:basedOn w:val="Normln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1">
    <w:name w:val="xl91"/>
    <w:basedOn w:val="Normln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2">
    <w:name w:val="xl92"/>
    <w:basedOn w:val="Normln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3">
    <w:name w:val="xl93"/>
    <w:basedOn w:val="Normln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4">
    <w:name w:val="xl94"/>
    <w:basedOn w:val="Normln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5">
    <w:name w:val="xl95"/>
    <w:basedOn w:val="Normln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6">
    <w:name w:val="xl96"/>
    <w:basedOn w:val="Normln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7">
    <w:name w:val="xl97"/>
    <w:basedOn w:val="Normln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8">
    <w:name w:val="xl98"/>
    <w:basedOn w:val="Normln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9">
    <w:name w:val="xl99"/>
    <w:basedOn w:val="Normln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0">
    <w:name w:val="xl100"/>
    <w:basedOn w:val="Normln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1">
    <w:name w:val="xl101"/>
    <w:basedOn w:val="Normln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pPr>
      <w:widowControl w:val="0"/>
      <w:autoSpaceDE w:val="0"/>
      <w:autoSpaceDN w:val="0"/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Pr>
      <w:rFonts w:ascii="Times New Roman" w:hAnsi="Times New Roman" w:cs="Times New Roman"/>
      <w:vertAlign w:val="superscript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customStyle="1" w:styleId="xl71">
    <w:name w:val="xl71"/>
    <w:basedOn w:val="Normln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0"/>
      <w:szCs w:val="20"/>
      <w:lang w:eastAsia="cs-CZ"/>
    </w:rPr>
  </w:style>
  <w:style w:type="paragraph" w:customStyle="1" w:styleId="xl72">
    <w:name w:val="xl72"/>
    <w:basedOn w:val="Normln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5">
    <w:name w:val="xl75"/>
    <w:basedOn w:val="Normln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6">
    <w:name w:val="xl76"/>
    <w:basedOn w:val="Normln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7">
    <w:name w:val="xl77"/>
    <w:basedOn w:val="Normln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8">
    <w:name w:val="xl78"/>
    <w:basedOn w:val="Normln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paragraph" w:customStyle="1" w:styleId="xl81">
    <w:name w:val="xl81"/>
    <w:basedOn w:val="Normln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0"/>
      <w:szCs w:val="20"/>
      <w:lang w:eastAsia="cs-CZ"/>
    </w:rPr>
  </w:style>
  <w:style w:type="paragraph" w:customStyle="1" w:styleId="xl82">
    <w:name w:val="xl82"/>
    <w:basedOn w:val="Normln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3">
    <w:name w:val="xl83"/>
    <w:basedOn w:val="Normln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4">
    <w:name w:val="xl84"/>
    <w:basedOn w:val="Normln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85">
    <w:name w:val="xl85"/>
    <w:basedOn w:val="Normln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6">
    <w:name w:val="xl86"/>
    <w:basedOn w:val="Normln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7">
    <w:name w:val="xl87"/>
    <w:basedOn w:val="Normln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8">
    <w:name w:val="xl88"/>
    <w:basedOn w:val="Normln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9">
    <w:name w:val="xl89"/>
    <w:basedOn w:val="Normln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0">
    <w:name w:val="xl90"/>
    <w:basedOn w:val="Normln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1">
    <w:name w:val="xl91"/>
    <w:basedOn w:val="Normln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2">
    <w:name w:val="xl92"/>
    <w:basedOn w:val="Normln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3">
    <w:name w:val="xl93"/>
    <w:basedOn w:val="Normln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4">
    <w:name w:val="xl94"/>
    <w:basedOn w:val="Normln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5">
    <w:name w:val="xl95"/>
    <w:basedOn w:val="Normln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6">
    <w:name w:val="xl96"/>
    <w:basedOn w:val="Normln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7">
    <w:name w:val="xl97"/>
    <w:basedOn w:val="Normln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8">
    <w:name w:val="xl98"/>
    <w:basedOn w:val="Normln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9">
    <w:name w:val="xl99"/>
    <w:basedOn w:val="Normln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0">
    <w:name w:val="xl100"/>
    <w:basedOn w:val="Normln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1">
    <w:name w:val="xl101"/>
    <w:basedOn w:val="Normln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portal.mpsv.cz/sz/stat/nz/mes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mpsv.cz/sz/sta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portal.mpsv.cz/upcr/kp/ulk/informace/bulletiny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072BA-7378-458F-9670-0A4ABC76B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9</Pages>
  <Words>1115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Mojžíšek Marek Bc. (GŘ)</dc:creator>
  <cp:lastModifiedBy>Tuček Michal</cp:lastModifiedBy>
  <cp:revision>61</cp:revision>
  <cp:lastPrinted>2017-02-07T07:35:00Z</cp:lastPrinted>
  <dcterms:created xsi:type="dcterms:W3CDTF">2016-11-30T06:11:00Z</dcterms:created>
  <dcterms:modified xsi:type="dcterms:W3CDTF">2017-05-09T08:31:00Z</dcterms:modified>
</cp:coreProperties>
</file>